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FA4A1" w14:textId="77777777" w:rsidR="007403FD" w:rsidRDefault="007403FD" w:rsidP="007403FD">
      <w:pPr>
        <w:rPr>
          <w:rFonts w:cstheme="minorHAnsi"/>
          <w:b/>
        </w:rPr>
      </w:pPr>
      <w:r>
        <w:rPr>
          <w:rFonts w:cstheme="minorHAnsi"/>
          <w:b/>
        </w:rPr>
        <w:t>Thematic Pathway for Reaffirmation</w:t>
      </w:r>
    </w:p>
    <w:p w14:paraId="322B91DA" w14:textId="77777777" w:rsidR="007403FD" w:rsidRDefault="007403FD" w:rsidP="007403FD">
      <w:pPr>
        <w:rPr>
          <w:rFonts w:cstheme="minorHAnsi"/>
          <w:b/>
        </w:rPr>
      </w:pPr>
      <w:r>
        <w:rPr>
          <w:rFonts w:cstheme="minorHAnsi"/>
          <w:b/>
        </w:rPr>
        <w:t>Proposed Areas of Study</w:t>
      </w:r>
    </w:p>
    <w:p w14:paraId="4C872F1D" w14:textId="77777777" w:rsidR="007403FD" w:rsidRDefault="007403FD" w:rsidP="007403FD">
      <w:pPr>
        <w:rPr>
          <w:rFonts w:cstheme="minorHAnsi"/>
          <w:b/>
        </w:rPr>
      </w:pPr>
      <w:r>
        <w:rPr>
          <w:rFonts w:cstheme="minorHAnsi"/>
          <w:b/>
        </w:rPr>
        <w:t xml:space="preserve">California Institute of Technology </w:t>
      </w:r>
    </w:p>
    <w:p w14:paraId="792739FB" w14:textId="77777777" w:rsidR="007403FD" w:rsidRDefault="007403FD" w:rsidP="007403FD">
      <w:pPr>
        <w:rPr>
          <w:rFonts w:cstheme="minorHAnsi"/>
          <w:b/>
        </w:rPr>
      </w:pPr>
      <w:r>
        <w:rPr>
          <w:rFonts w:cstheme="minorHAnsi"/>
          <w:b/>
        </w:rPr>
        <w:t>May 14, 2018</w:t>
      </w:r>
    </w:p>
    <w:p w14:paraId="6ED1D495" w14:textId="77777777" w:rsidR="007403FD" w:rsidRDefault="007403FD" w:rsidP="006C7448">
      <w:pPr>
        <w:rPr>
          <w:rFonts w:cstheme="minorHAnsi"/>
          <w:b/>
        </w:rPr>
      </w:pPr>
    </w:p>
    <w:p w14:paraId="75D00377" w14:textId="77777777" w:rsidR="0099479B" w:rsidRPr="007E2B4B" w:rsidRDefault="006C7448" w:rsidP="006C7448">
      <w:pPr>
        <w:rPr>
          <w:rFonts w:cstheme="minorHAnsi"/>
          <w:b/>
        </w:rPr>
      </w:pPr>
      <w:r w:rsidRPr="007E2B4B">
        <w:rPr>
          <w:rFonts w:cstheme="minorHAnsi"/>
          <w:b/>
        </w:rPr>
        <w:t>Executive Summary</w:t>
      </w:r>
    </w:p>
    <w:p w14:paraId="4821E816" w14:textId="77777777" w:rsidR="00782958" w:rsidRPr="007E2B4B" w:rsidRDefault="00782958" w:rsidP="006C7448">
      <w:pPr>
        <w:rPr>
          <w:rFonts w:cstheme="minorHAnsi"/>
          <w:b/>
        </w:rPr>
      </w:pPr>
    </w:p>
    <w:p w14:paraId="57D17792" w14:textId="61347333" w:rsidR="006A0BD1" w:rsidRPr="007E2B4B" w:rsidRDefault="00492D7E" w:rsidP="00850790">
      <w:pPr>
        <w:rPr>
          <w:rFonts w:cstheme="minorHAnsi"/>
          <w:bCs/>
        </w:rPr>
      </w:pPr>
      <w:r w:rsidRPr="007E2B4B">
        <w:rPr>
          <w:rFonts w:cstheme="minorHAnsi"/>
          <w:bCs/>
        </w:rPr>
        <w:t>With an undergraduate population of 1,000, a gradu</w:t>
      </w:r>
      <w:bookmarkStart w:id="0" w:name="_GoBack"/>
      <w:bookmarkEnd w:id="0"/>
      <w:r w:rsidRPr="007E2B4B">
        <w:rPr>
          <w:rFonts w:cstheme="minorHAnsi"/>
          <w:bCs/>
        </w:rPr>
        <w:t>ate population of 1,200, and a</w:t>
      </w:r>
      <w:r w:rsidR="00A92BB1" w:rsidRPr="007E2B4B">
        <w:rPr>
          <w:rFonts w:cstheme="minorHAnsi"/>
          <w:bCs/>
        </w:rPr>
        <w:t>n undergraduate to faculty</w:t>
      </w:r>
      <w:r w:rsidRPr="007E2B4B">
        <w:rPr>
          <w:rFonts w:cstheme="minorHAnsi"/>
          <w:bCs/>
        </w:rPr>
        <w:t xml:space="preserve"> ratio of 3:1, Caltech</w:t>
      </w:r>
      <w:r w:rsidR="00DD6BD7" w:rsidRPr="007E2B4B">
        <w:rPr>
          <w:rFonts w:cstheme="minorHAnsi"/>
          <w:bCs/>
        </w:rPr>
        <w:t xml:space="preserve"> is </w:t>
      </w:r>
      <w:r w:rsidR="00485AFC" w:rsidRPr="007E2B4B">
        <w:rPr>
          <w:rFonts w:cstheme="minorHAnsi"/>
          <w:bCs/>
        </w:rPr>
        <w:t xml:space="preserve">a STEM-based research </w:t>
      </w:r>
      <w:r w:rsidR="00573FF0" w:rsidRPr="007E2B4B">
        <w:rPr>
          <w:rFonts w:cstheme="minorHAnsi"/>
          <w:bCs/>
        </w:rPr>
        <w:t xml:space="preserve">university </w:t>
      </w:r>
      <w:r w:rsidR="00485AFC" w:rsidRPr="007E2B4B">
        <w:rPr>
          <w:rFonts w:cstheme="minorHAnsi"/>
          <w:bCs/>
        </w:rPr>
        <w:t xml:space="preserve">that offers </w:t>
      </w:r>
      <w:r w:rsidRPr="007E2B4B">
        <w:rPr>
          <w:rFonts w:cstheme="minorHAnsi"/>
          <w:bCs/>
        </w:rPr>
        <w:t>an academic</w:t>
      </w:r>
      <w:r w:rsidR="00DD6BD7" w:rsidRPr="007E2B4B">
        <w:rPr>
          <w:rFonts w:cstheme="minorHAnsi"/>
          <w:bCs/>
        </w:rPr>
        <w:t xml:space="preserve"> and social </w:t>
      </w:r>
      <w:r w:rsidRPr="007E2B4B">
        <w:rPr>
          <w:rFonts w:cstheme="minorHAnsi"/>
          <w:bCs/>
        </w:rPr>
        <w:t xml:space="preserve">experience unlike any other institution.  The two themes chosen by the community </w:t>
      </w:r>
      <w:r w:rsidR="007B5F92" w:rsidRPr="007E2B4B">
        <w:rPr>
          <w:rFonts w:cstheme="minorHAnsi"/>
          <w:bCs/>
        </w:rPr>
        <w:t>reflect the institute</w:t>
      </w:r>
      <w:r w:rsidR="001D0BD3" w:rsidRPr="007E2B4B">
        <w:rPr>
          <w:rFonts w:cstheme="minorHAnsi"/>
          <w:bCs/>
        </w:rPr>
        <w:t>’</w:t>
      </w:r>
      <w:r w:rsidR="003C00CD" w:rsidRPr="007E2B4B">
        <w:rPr>
          <w:rFonts w:cstheme="minorHAnsi"/>
          <w:bCs/>
        </w:rPr>
        <w:t>s distinctive</w:t>
      </w:r>
      <w:r w:rsidR="007B5F92" w:rsidRPr="007E2B4B">
        <w:rPr>
          <w:rFonts w:cstheme="minorHAnsi"/>
          <w:bCs/>
        </w:rPr>
        <w:t xml:space="preserve"> character</w:t>
      </w:r>
      <w:r w:rsidR="003C00CD" w:rsidRPr="007E2B4B">
        <w:rPr>
          <w:rFonts w:cstheme="minorHAnsi"/>
          <w:bCs/>
        </w:rPr>
        <w:t>: t</w:t>
      </w:r>
      <w:r w:rsidR="001D0BD3" w:rsidRPr="007E2B4B">
        <w:rPr>
          <w:rFonts w:cstheme="minorHAnsi"/>
          <w:bCs/>
        </w:rPr>
        <w:t>he Core Curriculum a</w:t>
      </w:r>
      <w:r w:rsidR="000245E4" w:rsidRPr="007E2B4B">
        <w:rPr>
          <w:rFonts w:cstheme="minorHAnsi"/>
          <w:bCs/>
        </w:rPr>
        <w:t>nd Academic</w:t>
      </w:r>
      <w:r w:rsidR="00F67532" w:rsidRPr="007E2B4B">
        <w:rPr>
          <w:rFonts w:cstheme="minorHAnsi"/>
          <w:bCs/>
        </w:rPr>
        <w:t xml:space="preserve"> and C</w:t>
      </w:r>
      <w:r w:rsidR="003C00CD" w:rsidRPr="007E2B4B">
        <w:rPr>
          <w:rFonts w:cstheme="minorHAnsi"/>
          <w:bCs/>
        </w:rPr>
        <w:t xml:space="preserve">o-curricular </w:t>
      </w:r>
      <w:r w:rsidRPr="007E2B4B">
        <w:rPr>
          <w:rFonts w:cstheme="minorHAnsi"/>
          <w:bCs/>
        </w:rPr>
        <w:t>Support</w:t>
      </w:r>
      <w:r w:rsidR="000245E4" w:rsidRPr="007E2B4B">
        <w:rPr>
          <w:rFonts w:cstheme="minorHAnsi"/>
          <w:bCs/>
        </w:rPr>
        <w:t xml:space="preserve"> Structures</w:t>
      </w:r>
      <w:r w:rsidRPr="007E2B4B">
        <w:rPr>
          <w:rFonts w:cstheme="minorHAnsi"/>
          <w:bCs/>
        </w:rPr>
        <w:t>.</w:t>
      </w:r>
      <w:r w:rsidR="007B5F92" w:rsidRPr="007E2B4B">
        <w:rPr>
          <w:rFonts w:cstheme="minorHAnsi"/>
          <w:bCs/>
        </w:rPr>
        <w:t xml:space="preserve">  </w:t>
      </w:r>
      <w:r w:rsidR="006A0BD1" w:rsidRPr="007E2B4B">
        <w:rPr>
          <w:rFonts w:cstheme="minorHAnsi"/>
          <w:bCs/>
        </w:rPr>
        <w:t xml:space="preserve">The first theme </w:t>
      </w:r>
      <w:r w:rsidR="003C00CD" w:rsidRPr="007E2B4B">
        <w:rPr>
          <w:rFonts w:cstheme="minorHAnsi"/>
          <w:bCs/>
        </w:rPr>
        <w:t xml:space="preserve">focuses </w:t>
      </w:r>
      <w:r w:rsidR="006A0BD1" w:rsidRPr="007E2B4B">
        <w:rPr>
          <w:rFonts w:cstheme="minorHAnsi"/>
          <w:bCs/>
        </w:rPr>
        <w:t>on the signature academic experience shared by all Caltech undergraduates.  The second theme</w:t>
      </w:r>
      <w:r w:rsidR="003C00CD" w:rsidRPr="007E2B4B">
        <w:rPr>
          <w:rFonts w:cstheme="minorHAnsi"/>
          <w:bCs/>
        </w:rPr>
        <w:t xml:space="preserve"> is comprehensive</w:t>
      </w:r>
      <w:r w:rsidR="006A0BD1" w:rsidRPr="007E2B4B">
        <w:rPr>
          <w:rFonts w:cstheme="minorHAnsi"/>
          <w:bCs/>
        </w:rPr>
        <w:t xml:space="preserve">, and gives the Institute an opportunity to examine the many support structures – both academic and non-academic – that </w:t>
      </w:r>
      <w:r w:rsidR="003C00CD" w:rsidRPr="007E2B4B">
        <w:rPr>
          <w:rFonts w:cstheme="minorHAnsi"/>
          <w:bCs/>
        </w:rPr>
        <w:t xml:space="preserve">have developed in the last decade </w:t>
      </w:r>
      <w:r w:rsidR="006A0BD1" w:rsidRPr="007E2B4B">
        <w:rPr>
          <w:rFonts w:cstheme="minorHAnsi"/>
          <w:bCs/>
        </w:rPr>
        <w:t xml:space="preserve">to help all of our community members thrive.   </w:t>
      </w:r>
    </w:p>
    <w:p w14:paraId="19E5053E" w14:textId="77777777" w:rsidR="006A0BD1" w:rsidRPr="007E2B4B" w:rsidRDefault="006A0BD1" w:rsidP="00850790">
      <w:pPr>
        <w:rPr>
          <w:rFonts w:cstheme="minorHAnsi"/>
          <w:bCs/>
        </w:rPr>
      </w:pPr>
    </w:p>
    <w:p w14:paraId="0206CFE7" w14:textId="6CB9BBD1" w:rsidR="00520F44" w:rsidRPr="007E2B4B" w:rsidRDefault="007B5F92" w:rsidP="00F8639F">
      <w:pPr>
        <w:rPr>
          <w:rFonts w:cstheme="minorHAnsi"/>
          <w:bCs/>
        </w:rPr>
      </w:pPr>
      <w:r w:rsidRPr="007E2B4B">
        <w:rPr>
          <w:rFonts w:cstheme="minorHAnsi"/>
          <w:bCs/>
        </w:rPr>
        <w:t xml:space="preserve">The Core Curriculum has been a </w:t>
      </w:r>
      <w:r w:rsidR="00CC4A16" w:rsidRPr="007E2B4B">
        <w:rPr>
          <w:rFonts w:cstheme="minorHAnsi"/>
          <w:bCs/>
        </w:rPr>
        <w:t xml:space="preserve">theme in previous </w:t>
      </w:r>
      <w:r w:rsidR="0007566C" w:rsidRPr="007E2B4B">
        <w:rPr>
          <w:rFonts w:cstheme="minorHAnsi"/>
          <w:bCs/>
        </w:rPr>
        <w:t xml:space="preserve">accreditation cycles because it </w:t>
      </w:r>
      <w:r w:rsidR="00621D52" w:rsidRPr="007E2B4B">
        <w:rPr>
          <w:rFonts w:cstheme="minorHAnsi"/>
          <w:bCs/>
        </w:rPr>
        <w:t>is the centerpiece of the undergraduate experie</w:t>
      </w:r>
      <w:r w:rsidR="0098006B" w:rsidRPr="007E2B4B">
        <w:rPr>
          <w:rFonts w:cstheme="minorHAnsi"/>
          <w:bCs/>
        </w:rPr>
        <w:t xml:space="preserve">nce.  </w:t>
      </w:r>
      <w:r w:rsidR="005147D1" w:rsidRPr="007E2B4B">
        <w:rPr>
          <w:rFonts w:cstheme="minorHAnsi"/>
          <w:bCs/>
        </w:rPr>
        <w:t xml:space="preserve">The Core </w:t>
      </w:r>
      <w:r w:rsidR="00F066E0" w:rsidRPr="007E2B4B">
        <w:rPr>
          <w:rFonts w:cstheme="minorHAnsi"/>
          <w:bCs/>
        </w:rPr>
        <w:t xml:space="preserve">is </w:t>
      </w:r>
      <w:r w:rsidR="00C3211E" w:rsidRPr="007E2B4B">
        <w:rPr>
          <w:rFonts w:cstheme="minorHAnsi"/>
          <w:bCs/>
        </w:rPr>
        <w:t xml:space="preserve">regularly </w:t>
      </w:r>
      <w:r w:rsidR="00F066E0" w:rsidRPr="007E2B4B">
        <w:rPr>
          <w:rFonts w:cstheme="minorHAnsi"/>
          <w:bCs/>
        </w:rPr>
        <w:t xml:space="preserve">being evaluated, and significant changes were made </w:t>
      </w:r>
      <w:r w:rsidR="00573FF0" w:rsidRPr="007E2B4B">
        <w:rPr>
          <w:rFonts w:cstheme="minorHAnsi"/>
          <w:bCs/>
        </w:rPr>
        <w:t xml:space="preserve">just </w:t>
      </w:r>
      <w:r w:rsidR="00F066E0" w:rsidRPr="007E2B4B">
        <w:rPr>
          <w:rFonts w:cstheme="minorHAnsi"/>
          <w:bCs/>
        </w:rPr>
        <w:t xml:space="preserve">prior to the 2010 accreditation.  </w:t>
      </w:r>
      <w:r w:rsidR="00A67F61" w:rsidRPr="007E2B4B">
        <w:rPr>
          <w:rFonts w:cstheme="minorHAnsi"/>
          <w:bCs/>
        </w:rPr>
        <w:t>Th</w:t>
      </w:r>
      <w:r w:rsidR="00FE295C">
        <w:rPr>
          <w:rFonts w:cstheme="minorHAnsi"/>
          <w:bCs/>
        </w:rPr>
        <w:t>e</w:t>
      </w:r>
      <w:r w:rsidR="00A67F61" w:rsidRPr="007E2B4B">
        <w:rPr>
          <w:rFonts w:cstheme="minorHAnsi"/>
          <w:bCs/>
        </w:rPr>
        <w:t xml:space="preserve"> Commission recommended that we “</w:t>
      </w:r>
      <w:r w:rsidR="00850790" w:rsidRPr="007E2B4B">
        <w:rPr>
          <w:rFonts w:cstheme="minorHAnsi"/>
          <w:bCs/>
        </w:rPr>
        <w:t xml:space="preserve">substantiate the effectiveness of the recent modifications,” </w:t>
      </w:r>
      <w:r w:rsidR="00A67F61" w:rsidRPr="007E2B4B">
        <w:rPr>
          <w:rFonts w:cstheme="minorHAnsi"/>
          <w:bCs/>
        </w:rPr>
        <w:t xml:space="preserve">and </w:t>
      </w:r>
      <w:r w:rsidR="00850790" w:rsidRPr="007E2B4B">
        <w:rPr>
          <w:rFonts w:cstheme="minorHAnsi"/>
          <w:bCs/>
        </w:rPr>
        <w:t xml:space="preserve">assess </w:t>
      </w:r>
      <w:r w:rsidR="00A67F61" w:rsidRPr="007E2B4B">
        <w:rPr>
          <w:rFonts w:cstheme="minorHAnsi"/>
          <w:bCs/>
        </w:rPr>
        <w:t xml:space="preserve">whether </w:t>
      </w:r>
      <w:r w:rsidR="00850790" w:rsidRPr="007E2B4B">
        <w:rPr>
          <w:rFonts w:cstheme="minorHAnsi"/>
          <w:bCs/>
        </w:rPr>
        <w:t xml:space="preserve">“the intended outcomes of the Core Curriculum” </w:t>
      </w:r>
      <w:r w:rsidR="00A67F61" w:rsidRPr="007E2B4B">
        <w:rPr>
          <w:rFonts w:cstheme="minorHAnsi"/>
          <w:bCs/>
        </w:rPr>
        <w:t xml:space="preserve">were </w:t>
      </w:r>
      <w:r w:rsidR="00850790" w:rsidRPr="007E2B4B">
        <w:rPr>
          <w:rFonts w:cstheme="minorHAnsi"/>
          <w:bCs/>
        </w:rPr>
        <w:t xml:space="preserve">being achieved. </w:t>
      </w:r>
      <w:r w:rsidR="000245E4" w:rsidRPr="007E2B4B">
        <w:rPr>
          <w:rFonts w:cstheme="minorHAnsi"/>
          <w:bCs/>
        </w:rPr>
        <w:t xml:space="preserve">  </w:t>
      </w:r>
      <w:r w:rsidR="00A67F61" w:rsidRPr="007E2B4B">
        <w:rPr>
          <w:rFonts w:cstheme="minorHAnsi"/>
          <w:bCs/>
        </w:rPr>
        <w:t xml:space="preserve">We welcome the opportunity to do that here.  </w:t>
      </w:r>
      <w:r w:rsidR="000245E4" w:rsidRPr="007E2B4B">
        <w:rPr>
          <w:rFonts w:cstheme="minorHAnsi"/>
          <w:bCs/>
        </w:rPr>
        <w:t xml:space="preserve">Since the last accreditation, several centers, initiatives, and offices have been established to support community members, including undergraduates, graduates, postdoctoral researchers, staff, and faculty.  </w:t>
      </w:r>
      <w:r w:rsidR="00AD4701">
        <w:rPr>
          <w:rFonts w:cstheme="minorHAnsi"/>
          <w:bCs/>
        </w:rPr>
        <w:t xml:space="preserve">Other support structures have been expanded or revised.  </w:t>
      </w:r>
      <w:r w:rsidR="00F8639F" w:rsidRPr="007E2B4B">
        <w:rPr>
          <w:rFonts w:cstheme="minorHAnsi"/>
          <w:bCs/>
        </w:rPr>
        <w:t>Gathering these programs under the thematic heading of Academic and Co-curricular Support Structures reflects the community’s enthusiasm for them, and the</w:t>
      </w:r>
      <w:r w:rsidR="000245E4" w:rsidRPr="007E2B4B">
        <w:rPr>
          <w:rFonts w:cstheme="minorHAnsi"/>
          <w:bCs/>
        </w:rPr>
        <w:t xml:space="preserve"> TPR</w:t>
      </w:r>
      <w:r w:rsidR="00A24DD6">
        <w:rPr>
          <w:rFonts w:cstheme="minorHAnsi"/>
          <w:bCs/>
        </w:rPr>
        <w:t xml:space="preserve"> (Thematic Pathway for Reaffirmation)</w:t>
      </w:r>
      <w:r w:rsidR="000245E4" w:rsidRPr="007E2B4B">
        <w:rPr>
          <w:rFonts w:cstheme="minorHAnsi"/>
          <w:bCs/>
        </w:rPr>
        <w:t xml:space="preserve"> gives us the opportunity to examine the</w:t>
      </w:r>
      <w:r w:rsidR="00F8639F" w:rsidRPr="007E2B4B">
        <w:rPr>
          <w:rFonts w:cstheme="minorHAnsi"/>
          <w:bCs/>
        </w:rPr>
        <w:t>ir</w:t>
      </w:r>
      <w:r w:rsidR="000245E4" w:rsidRPr="007E2B4B">
        <w:rPr>
          <w:rFonts w:cstheme="minorHAnsi"/>
          <w:bCs/>
        </w:rPr>
        <w:t xml:space="preserve"> effectiveness </w:t>
      </w:r>
      <w:r w:rsidR="00F8639F" w:rsidRPr="007E2B4B">
        <w:rPr>
          <w:rFonts w:cstheme="minorHAnsi"/>
          <w:bCs/>
        </w:rPr>
        <w:t>and consider further improvements.</w:t>
      </w:r>
    </w:p>
    <w:p w14:paraId="5A62831E" w14:textId="77777777" w:rsidR="006A0BD1" w:rsidRPr="007E2B4B" w:rsidRDefault="006A0BD1" w:rsidP="00850790">
      <w:pPr>
        <w:rPr>
          <w:rFonts w:cstheme="minorHAnsi"/>
          <w:bCs/>
        </w:rPr>
      </w:pPr>
    </w:p>
    <w:p w14:paraId="104D0A91" w14:textId="77777777" w:rsidR="006C7448" w:rsidRPr="007E2B4B" w:rsidRDefault="006C7448" w:rsidP="006C7448">
      <w:pPr>
        <w:rPr>
          <w:rFonts w:cstheme="minorHAnsi"/>
          <w:b/>
        </w:rPr>
      </w:pPr>
      <w:r w:rsidRPr="007E2B4B">
        <w:rPr>
          <w:rFonts w:cstheme="minorHAnsi"/>
          <w:b/>
        </w:rPr>
        <w:t>Overview of the institution</w:t>
      </w:r>
    </w:p>
    <w:p w14:paraId="769B2009" w14:textId="77777777" w:rsidR="00D456C6" w:rsidRPr="007E2B4B" w:rsidRDefault="00D456C6" w:rsidP="006C7448">
      <w:pPr>
        <w:rPr>
          <w:rFonts w:cstheme="minorHAnsi"/>
          <w:b/>
        </w:rPr>
      </w:pPr>
    </w:p>
    <w:p w14:paraId="3828DE6C" w14:textId="4EE65502" w:rsidR="00D456C6" w:rsidRPr="007E2B4B" w:rsidRDefault="00D456C6" w:rsidP="00E40D2C">
      <w:pPr>
        <w:rPr>
          <w:rFonts w:eastAsia="Times New Roman" w:cstheme="minorHAnsi"/>
        </w:rPr>
      </w:pPr>
      <w:r w:rsidRPr="007E2B4B">
        <w:rPr>
          <w:rFonts w:eastAsia="Times New Roman" w:cstheme="minorHAnsi"/>
        </w:rPr>
        <w:t>Founded as Throop University in 1891 and renamed the California Institute of Technology in 1920, Caltech</w:t>
      </w:r>
      <w:r w:rsidR="001250B6" w:rsidRPr="007E2B4B">
        <w:rPr>
          <w:rFonts w:eastAsia="Times New Roman" w:cstheme="minorHAnsi"/>
        </w:rPr>
        <w:t xml:space="preserve"> is dedicated to basic research and excellence in </w:t>
      </w:r>
      <w:r w:rsidR="001E0697" w:rsidRPr="007E2B4B">
        <w:rPr>
          <w:rFonts w:eastAsia="Times New Roman" w:cstheme="minorHAnsi"/>
        </w:rPr>
        <w:t xml:space="preserve">the areas of </w:t>
      </w:r>
      <w:r w:rsidR="001250B6" w:rsidRPr="007E2B4B">
        <w:rPr>
          <w:rFonts w:eastAsia="Times New Roman" w:cstheme="minorHAnsi"/>
        </w:rPr>
        <w:t>inquiry</w:t>
      </w:r>
      <w:r w:rsidR="001E0697" w:rsidRPr="007E2B4B">
        <w:rPr>
          <w:rFonts w:eastAsia="Times New Roman" w:cstheme="minorHAnsi"/>
        </w:rPr>
        <w:t xml:space="preserve"> pursued by our faculty</w:t>
      </w:r>
      <w:r w:rsidRPr="007E2B4B">
        <w:rPr>
          <w:rFonts w:eastAsia="Times New Roman" w:cstheme="minorHAnsi"/>
        </w:rPr>
        <w:t xml:space="preserve">.  </w:t>
      </w:r>
      <w:r w:rsidR="00E81344" w:rsidRPr="007E2B4B">
        <w:rPr>
          <w:rFonts w:eastAsia="Times New Roman" w:cstheme="minorHAnsi"/>
        </w:rPr>
        <w:t xml:space="preserve">Caltech </w:t>
      </w:r>
      <w:r w:rsidRPr="007E2B4B">
        <w:rPr>
          <w:rFonts w:eastAsia="Times New Roman" w:cstheme="minorHAnsi"/>
        </w:rPr>
        <w:t>is a private, independent institution with a 124-acre campus located in Pasadena, California. Its mission</w:t>
      </w:r>
      <w:r w:rsidR="00696307" w:rsidRPr="007E2B4B">
        <w:rPr>
          <w:rFonts w:eastAsia="Times New Roman" w:cstheme="minorHAnsi"/>
        </w:rPr>
        <w:t xml:space="preserve"> i</w:t>
      </w:r>
      <w:r w:rsidRPr="007E2B4B">
        <w:rPr>
          <w:rFonts w:eastAsia="Times New Roman" w:cstheme="minorHAnsi"/>
        </w:rPr>
        <w:t>s “to expand human knowledge and benefit society through research integrated with education. We investigate the most challenging, fundamental problems in science and technology in a singularly collegial, interdisciplinary atmosphere, while educating outstanding students to become creative members of society.”</w:t>
      </w:r>
      <w:r w:rsidR="00E40D2C" w:rsidRPr="007E2B4B">
        <w:rPr>
          <w:rFonts w:eastAsia="Times New Roman" w:cstheme="minorHAnsi"/>
        </w:rPr>
        <w:t xml:space="preserve">  The main academic structure</w:t>
      </w:r>
      <w:r w:rsidR="00F8639F" w:rsidRPr="007E2B4B">
        <w:rPr>
          <w:rFonts w:eastAsia="Times New Roman" w:cstheme="minorHAnsi"/>
        </w:rPr>
        <w:t xml:space="preserve"> </w:t>
      </w:r>
      <w:r w:rsidR="00982D60" w:rsidRPr="007E2B4B">
        <w:rPr>
          <w:rFonts w:eastAsia="Times New Roman" w:cstheme="minorHAnsi"/>
        </w:rPr>
        <w:t>comprises</w:t>
      </w:r>
      <w:r w:rsidR="00F8639F" w:rsidRPr="007E2B4B">
        <w:rPr>
          <w:rFonts w:eastAsia="Times New Roman" w:cstheme="minorHAnsi"/>
        </w:rPr>
        <w:t xml:space="preserve"> six divisions</w:t>
      </w:r>
      <w:r w:rsidR="00E40D2C" w:rsidRPr="007E2B4B">
        <w:rPr>
          <w:rFonts w:eastAsia="Times New Roman" w:cstheme="minorHAnsi"/>
        </w:rPr>
        <w:t>: BBE (Biology and Biological Engineering); CCE (Chemistry and Chemical Engineering); EAS (Engineering and Applied Science); GPS (Geological and Planetary Sciences); HSS (Humanities and Social Sciences); and PMA (Physics, Math</w:t>
      </w:r>
      <w:r w:rsidR="00982D60" w:rsidRPr="007E2B4B">
        <w:rPr>
          <w:rFonts w:eastAsia="Times New Roman" w:cstheme="minorHAnsi"/>
        </w:rPr>
        <w:t>ematics</w:t>
      </w:r>
      <w:r w:rsidR="00E40D2C" w:rsidRPr="007E2B4B">
        <w:rPr>
          <w:rFonts w:eastAsia="Times New Roman" w:cstheme="minorHAnsi"/>
        </w:rPr>
        <w:t xml:space="preserve"> and Astronomy). </w:t>
      </w:r>
    </w:p>
    <w:p w14:paraId="12E9B778" w14:textId="374335DB" w:rsidR="00D456C6" w:rsidRPr="007E2B4B" w:rsidRDefault="00D456C6" w:rsidP="00D456C6">
      <w:pPr>
        <w:spacing w:before="100" w:beforeAutospacing="1" w:after="100" w:afterAutospacing="1"/>
        <w:rPr>
          <w:rFonts w:eastAsia="Times New Roman" w:cstheme="minorHAnsi"/>
        </w:rPr>
      </w:pPr>
      <w:r w:rsidRPr="007E2B4B">
        <w:rPr>
          <w:rFonts w:eastAsia="Times New Roman" w:cstheme="minorHAnsi"/>
        </w:rPr>
        <w:lastRenderedPageBreak/>
        <w:t>Caltech’s faculty and students</w:t>
      </w:r>
      <w:r w:rsidR="001250B6" w:rsidRPr="007E2B4B">
        <w:rPr>
          <w:rFonts w:eastAsia="Times New Roman" w:cstheme="minorHAnsi"/>
        </w:rPr>
        <w:t xml:space="preserve"> </w:t>
      </w:r>
      <w:r w:rsidR="00C626C3" w:rsidRPr="007E2B4B">
        <w:rPr>
          <w:rFonts w:eastAsia="Times New Roman" w:cstheme="minorHAnsi"/>
        </w:rPr>
        <w:t xml:space="preserve">pursue questions in </w:t>
      </w:r>
      <w:r w:rsidR="001250B6" w:rsidRPr="007E2B4B">
        <w:rPr>
          <w:rFonts w:eastAsia="Times New Roman" w:cstheme="minorHAnsi"/>
        </w:rPr>
        <w:t xml:space="preserve">a range of fields, from </w:t>
      </w:r>
      <w:r w:rsidRPr="007E2B4B">
        <w:rPr>
          <w:rFonts w:eastAsia="Times New Roman" w:cstheme="minorHAnsi"/>
        </w:rPr>
        <w:t xml:space="preserve">quantum science and </w:t>
      </w:r>
      <w:r w:rsidR="001250B6" w:rsidRPr="007E2B4B">
        <w:rPr>
          <w:rFonts w:eastAsia="Times New Roman" w:cstheme="minorHAnsi"/>
        </w:rPr>
        <w:t xml:space="preserve">medical engineering to </w:t>
      </w:r>
      <w:r w:rsidR="00C626C3" w:rsidRPr="007E2B4B">
        <w:rPr>
          <w:rFonts w:eastAsia="Times New Roman" w:cstheme="minorHAnsi"/>
        </w:rPr>
        <w:t xml:space="preserve">geobiology </w:t>
      </w:r>
      <w:r w:rsidR="001250B6" w:rsidRPr="007E2B4B">
        <w:rPr>
          <w:rFonts w:eastAsia="Times New Roman" w:cstheme="minorHAnsi"/>
        </w:rPr>
        <w:t xml:space="preserve">and climate change, from </w:t>
      </w:r>
      <w:r w:rsidR="00C626C3" w:rsidRPr="007E2B4B">
        <w:rPr>
          <w:rFonts w:eastAsia="Times New Roman" w:cstheme="minorHAnsi"/>
        </w:rPr>
        <w:t xml:space="preserve">biophysics and materials science to computer science and neuroeconomics.  The shared goals are an expanded understanding </w:t>
      </w:r>
      <w:r w:rsidRPr="007E2B4B">
        <w:rPr>
          <w:rFonts w:eastAsia="Times New Roman" w:cstheme="minorHAnsi"/>
        </w:rPr>
        <w:t xml:space="preserve">of the universe </w:t>
      </w:r>
      <w:r w:rsidR="00C626C3" w:rsidRPr="007E2B4B">
        <w:rPr>
          <w:rFonts w:eastAsia="Times New Roman" w:cstheme="minorHAnsi"/>
        </w:rPr>
        <w:t>and</w:t>
      </w:r>
      <w:r w:rsidR="00E81344" w:rsidRPr="007E2B4B">
        <w:rPr>
          <w:rFonts w:eastAsia="Times New Roman" w:cstheme="minorHAnsi"/>
        </w:rPr>
        <w:t xml:space="preserve"> </w:t>
      </w:r>
      <w:r w:rsidR="00C626C3" w:rsidRPr="007E2B4B">
        <w:rPr>
          <w:rFonts w:eastAsia="Times New Roman" w:cstheme="minorHAnsi"/>
        </w:rPr>
        <w:t>the world.  T</w:t>
      </w:r>
      <w:r w:rsidRPr="007E2B4B">
        <w:rPr>
          <w:rFonts w:eastAsia="Times New Roman" w:cstheme="minorHAnsi"/>
        </w:rPr>
        <w:t>echnologies of the future</w:t>
      </w:r>
      <w:r w:rsidR="00C626C3" w:rsidRPr="007E2B4B">
        <w:rPr>
          <w:rFonts w:eastAsia="Times New Roman" w:cstheme="minorHAnsi"/>
        </w:rPr>
        <w:t xml:space="preserve"> are invented at Caltech</w:t>
      </w:r>
      <w:r w:rsidRPr="007E2B4B">
        <w:rPr>
          <w:rFonts w:eastAsia="Times New Roman" w:cstheme="minorHAnsi"/>
        </w:rPr>
        <w:t>. Substantial grants and contracts from the federal government and private sources support much of the research activity on campus. The contributions of Caltech's faculty</w:t>
      </w:r>
      <w:r w:rsidR="00A92BB1" w:rsidRPr="007E2B4B">
        <w:rPr>
          <w:rFonts w:eastAsia="Times New Roman" w:cstheme="minorHAnsi"/>
        </w:rPr>
        <w:t xml:space="preserve">, </w:t>
      </w:r>
      <w:r w:rsidRPr="007E2B4B">
        <w:rPr>
          <w:rFonts w:eastAsia="Times New Roman" w:cstheme="minorHAnsi"/>
        </w:rPr>
        <w:t>alumni</w:t>
      </w:r>
      <w:r w:rsidR="00A92BB1" w:rsidRPr="007E2B4B">
        <w:rPr>
          <w:rFonts w:eastAsia="Times New Roman" w:cstheme="minorHAnsi"/>
        </w:rPr>
        <w:t>, and trustees</w:t>
      </w:r>
      <w:r w:rsidRPr="007E2B4B">
        <w:rPr>
          <w:rFonts w:eastAsia="Times New Roman" w:cstheme="minorHAnsi"/>
        </w:rPr>
        <w:t xml:space="preserve"> have earned national and international recognition, including 38 Nobel Prizes</w:t>
      </w:r>
      <w:r w:rsidR="00F32075" w:rsidRPr="007E2B4B">
        <w:rPr>
          <w:rFonts w:eastAsia="Times New Roman" w:cstheme="minorHAnsi"/>
        </w:rPr>
        <w:t xml:space="preserve">, 58 National Medal of Science Recipients, </w:t>
      </w:r>
      <w:r w:rsidR="00A92BB1" w:rsidRPr="007E2B4B">
        <w:rPr>
          <w:rFonts w:eastAsia="Times New Roman" w:cstheme="minorHAnsi"/>
        </w:rPr>
        <w:t xml:space="preserve">and </w:t>
      </w:r>
      <w:r w:rsidR="00F32075" w:rsidRPr="007E2B4B">
        <w:rPr>
          <w:rFonts w:eastAsia="Times New Roman" w:cstheme="minorHAnsi"/>
        </w:rPr>
        <w:t>13 National Medal of Technology and Innovation Recipients</w:t>
      </w:r>
      <w:r w:rsidR="00A92BB1" w:rsidRPr="007E2B4B">
        <w:rPr>
          <w:rFonts w:eastAsia="Times New Roman" w:cstheme="minorHAnsi"/>
        </w:rPr>
        <w:t xml:space="preserve">.  The current faculty includes </w:t>
      </w:r>
      <w:r w:rsidR="00F32075" w:rsidRPr="007E2B4B">
        <w:rPr>
          <w:rFonts w:eastAsia="Times New Roman" w:cstheme="minorHAnsi"/>
        </w:rPr>
        <w:t>73 National Academy of Science</w:t>
      </w:r>
      <w:r w:rsidR="00770F2C" w:rsidRPr="007E2B4B">
        <w:rPr>
          <w:rFonts w:eastAsia="Times New Roman" w:cstheme="minorHAnsi"/>
        </w:rPr>
        <w:t>s</w:t>
      </w:r>
      <w:r w:rsidR="00F32075" w:rsidRPr="007E2B4B">
        <w:rPr>
          <w:rFonts w:eastAsia="Times New Roman" w:cstheme="minorHAnsi"/>
        </w:rPr>
        <w:t xml:space="preserve"> Members</w:t>
      </w:r>
      <w:r w:rsidR="00A92BB1" w:rsidRPr="007E2B4B">
        <w:rPr>
          <w:rFonts w:eastAsia="Times New Roman" w:cstheme="minorHAnsi"/>
        </w:rPr>
        <w:t xml:space="preserve"> </w:t>
      </w:r>
      <w:r w:rsidR="00F32075" w:rsidRPr="007E2B4B">
        <w:rPr>
          <w:rFonts w:eastAsia="Times New Roman" w:cstheme="minorHAnsi"/>
        </w:rPr>
        <w:t>and 104 faculty fellows in the American Academy of Arts and Sciences</w:t>
      </w:r>
      <w:r w:rsidRPr="007E2B4B">
        <w:rPr>
          <w:rFonts w:eastAsia="Times New Roman" w:cstheme="minorHAnsi"/>
        </w:rPr>
        <w:t xml:space="preserve">. </w:t>
      </w:r>
    </w:p>
    <w:p w14:paraId="2B302F17" w14:textId="2FFBE4E0" w:rsidR="006C7448" w:rsidRPr="007E2B4B" w:rsidRDefault="00D456C6" w:rsidP="00A37BDD">
      <w:pPr>
        <w:spacing w:before="100" w:beforeAutospacing="1" w:after="100" w:afterAutospacing="1"/>
        <w:rPr>
          <w:rFonts w:eastAsia="Times New Roman" w:cstheme="minorHAnsi"/>
        </w:rPr>
      </w:pPr>
      <w:r w:rsidRPr="007E2B4B">
        <w:rPr>
          <w:rFonts w:eastAsia="Times New Roman" w:cstheme="minorHAnsi"/>
        </w:rPr>
        <w:t xml:space="preserve">The Institute </w:t>
      </w:r>
      <w:r w:rsidR="00F32075" w:rsidRPr="007E2B4B">
        <w:rPr>
          <w:rFonts w:eastAsia="Times New Roman" w:cstheme="minorHAnsi"/>
        </w:rPr>
        <w:t xml:space="preserve">offers </w:t>
      </w:r>
      <w:r w:rsidR="00D26E65" w:rsidRPr="007E2B4B">
        <w:rPr>
          <w:rFonts w:eastAsia="Times New Roman" w:cstheme="minorHAnsi"/>
        </w:rPr>
        <w:t>a rigoro</w:t>
      </w:r>
      <w:r w:rsidR="0007566C" w:rsidRPr="007E2B4B">
        <w:rPr>
          <w:rFonts w:eastAsia="Times New Roman" w:cstheme="minorHAnsi"/>
        </w:rPr>
        <w:t xml:space="preserve">us academic experience, with </w:t>
      </w:r>
      <w:r w:rsidR="00F8639F" w:rsidRPr="007E2B4B">
        <w:rPr>
          <w:rFonts w:eastAsia="Times New Roman" w:cstheme="minorHAnsi"/>
        </w:rPr>
        <w:t xml:space="preserve">a strong tradition of </w:t>
      </w:r>
      <w:r w:rsidR="00FC327F" w:rsidRPr="007E2B4B">
        <w:rPr>
          <w:rFonts w:eastAsia="Times New Roman" w:cstheme="minorHAnsi"/>
          <w:color w:val="000000"/>
        </w:rPr>
        <w:t>preparing graduate students to excel as independent scientists and engineers through academic programs and original research investigations</w:t>
      </w:r>
      <w:r w:rsidR="00F8639F" w:rsidRPr="007E2B4B">
        <w:rPr>
          <w:rFonts w:eastAsia="Times New Roman" w:cstheme="minorHAnsi"/>
        </w:rPr>
        <w:t xml:space="preserve">, and </w:t>
      </w:r>
      <w:r w:rsidR="0007566C" w:rsidRPr="007E2B4B">
        <w:rPr>
          <w:rFonts w:eastAsia="Times New Roman" w:cstheme="minorHAnsi"/>
        </w:rPr>
        <w:t>an undergraduate curriculum designed to provide students with a broad, interdisciplinary framework</w:t>
      </w:r>
      <w:r w:rsidR="001B43F4">
        <w:rPr>
          <w:rFonts w:eastAsia="Times New Roman" w:cstheme="minorHAnsi"/>
        </w:rPr>
        <w:t xml:space="preserve"> and</w:t>
      </w:r>
      <w:r w:rsidR="00E81344" w:rsidRPr="007E2B4B">
        <w:rPr>
          <w:rFonts w:eastAsia="Times New Roman" w:cstheme="minorHAnsi"/>
        </w:rPr>
        <w:t xml:space="preserve"> with </w:t>
      </w:r>
      <w:r w:rsidR="0007566C" w:rsidRPr="007E2B4B">
        <w:rPr>
          <w:rFonts w:eastAsia="Times New Roman" w:cstheme="minorHAnsi"/>
        </w:rPr>
        <w:t xml:space="preserve">the tools </w:t>
      </w:r>
      <w:r w:rsidR="001B43F4">
        <w:rPr>
          <w:rFonts w:eastAsia="Times New Roman" w:cstheme="minorHAnsi"/>
        </w:rPr>
        <w:t>needed</w:t>
      </w:r>
      <w:r w:rsidR="001B43F4" w:rsidRPr="007E2B4B">
        <w:rPr>
          <w:rFonts w:eastAsia="Times New Roman" w:cstheme="minorHAnsi"/>
        </w:rPr>
        <w:t xml:space="preserve"> </w:t>
      </w:r>
      <w:r w:rsidR="0007566C" w:rsidRPr="007E2B4B">
        <w:rPr>
          <w:rFonts w:eastAsia="Times New Roman" w:cstheme="minorHAnsi"/>
        </w:rPr>
        <w:t>to specialize in a particular field and to make connections across diverse fields</w:t>
      </w:r>
      <w:r w:rsidR="00D26E65" w:rsidRPr="007E2B4B">
        <w:rPr>
          <w:rFonts w:eastAsia="Times New Roman" w:cstheme="minorHAnsi"/>
        </w:rPr>
        <w:t xml:space="preserve">.  </w:t>
      </w:r>
      <w:r w:rsidR="00E45E13" w:rsidRPr="007E2B4B">
        <w:rPr>
          <w:rFonts w:eastAsia="Times New Roman" w:cstheme="minorHAnsi"/>
        </w:rPr>
        <w:t>R</w:t>
      </w:r>
      <w:r w:rsidR="00D26E65" w:rsidRPr="007E2B4B">
        <w:rPr>
          <w:rFonts w:eastAsia="Times New Roman" w:cstheme="minorHAnsi"/>
        </w:rPr>
        <w:t xml:space="preserve">esearch </w:t>
      </w:r>
      <w:r w:rsidR="0007566C" w:rsidRPr="007E2B4B">
        <w:rPr>
          <w:rFonts w:eastAsia="Times New Roman" w:cstheme="minorHAnsi"/>
        </w:rPr>
        <w:t xml:space="preserve">in basic science </w:t>
      </w:r>
      <w:r w:rsidR="00013F31" w:rsidRPr="007E2B4B">
        <w:rPr>
          <w:rFonts w:eastAsia="Times New Roman" w:cstheme="minorHAnsi"/>
        </w:rPr>
        <w:t xml:space="preserve">and technology </w:t>
      </w:r>
      <w:r w:rsidR="00D26E65" w:rsidRPr="007E2B4B">
        <w:rPr>
          <w:rFonts w:eastAsia="Times New Roman" w:cstheme="minorHAnsi"/>
        </w:rPr>
        <w:t xml:space="preserve">is </w:t>
      </w:r>
      <w:r w:rsidR="0007566C" w:rsidRPr="007E2B4B">
        <w:rPr>
          <w:rFonts w:eastAsia="Times New Roman" w:cstheme="minorHAnsi"/>
        </w:rPr>
        <w:t>also a</w:t>
      </w:r>
      <w:r w:rsidR="00D26E65" w:rsidRPr="007E2B4B">
        <w:rPr>
          <w:rFonts w:eastAsia="Times New Roman" w:cstheme="minorHAnsi"/>
        </w:rPr>
        <w:t xml:space="preserve"> hallmark of the Caltech experience for undergraduates, graduate students, and postdoctoral researchers, many of whom go on</w:t>
      </w:r>
      <w:r w:rsidR="00770F2C" w:rsidRPr="007E2B4B">
        <w:rPr>
          <w:rFonts w:eastAsia="Times New Roman" w:cstheme="minorHAnsi"/>
        </w:rPr>
        <w:t xml:space="preserve"> </w:t>
      </w:r>
      <w:r w:rsidR="00D26E65" w:rsidRPr="007E2B4B">
        <w:rPr>
          <w:rFonts w:eastAsia="Times New Roman" w:cstheme="minorHAnsi"/>
        </w:rPr>
        <w:t xml:space="preserve">to positions of eminence in the </w:t>
      </w:r>
      <w:r w:rsidRPr="007E2B4B">
        <w:rPr>
          <w:rFonts w:eastAsia="Times New Roman" w:cstheme="minorHAnsi"/>
        </w:rPr>
        <w:t>fields of engineering, science, law, medicine, academe, and entrepreneurship.</w:t>
      </w:r>
      <w:r w:rsidR="00D26E65" w:rsidRPr="007E2B4B">
        <w:rPr>
          <w:rFonts w:eastAsia="Times New Roman" w:cstheme="minorHAnsi"/>
        </w:rPr>
        <w:t xml:space="preserve">  </w:t>
      </w:r>
    </w:p>
    <w:p w14:paraId="728B5D8B" w14:textId="77777777" w:rsidR="00A37BDD" w:rsidRPr="007E2B4B" w:rsidRDefault="006C7448" w:rsidP="00A37BDD">
      <w:pPr>
        <w:rPr>
          <w:rFonts w:cstheme="minorHAnsi"/>
          <w:b/>
        </w:rPr>
      </w:pPr>
      <w:r w:rsidRPr="007E2B4B">
        <w:rPr>
          <w:rFonts w:cstheme="minorHAnsi"/>
          <w:b/>
        </w:rPr>
        <w:t>Process for the development of theme</w:t>
      </w:r>
      <w:r w:rsidR="00F8639F" w:rsidRPr="007E2B4B">
        <w:rPr>
          <w:rFonts w:cstheme="minorHAnsi"/>
          <w:b/>
        </w:rPr>
        <w:t>s</w:t>
      </w:r>
    </w:p>
    <w:p w14:paraId="67100B24" w14:textId="77777777" w:rsidR="00E81344" w:rsidRPr="007E2B4B" w:rsidRDefault="00E81344" w:rsidP="00A37BDD">
      <w:pPr>
        <w:rPr>
          <w:rFonts w:cstheme="minorHAnsi"/>
          <w:b/>
        </w:rPr>
      </w:pPr>
    </w:p>
    <w:p w14:paraId="30CB1B8A" w14:textId="6D882E6D" w:rsidR="00ED2BFC" w:rsidRPr="007E2B4B" w:rsidRDefault="00ED2BFC" w:rsidP="00A37BDD">
      <w:pPr>
        <w:rPr>
          <w:rFonts w:eastAsia="Times New Roman" w:cstheme="minorHAnsi"/>
        </w:rPr>
      </w:pPr>
      <w:r w:rsidRPr="007E2B4B">
        <w:rPr>
          <w:rFonts w:eastAsia="Times New Roman" w:cstheme="minorHAnsi"/>
        </w:rPr>
        <w:t xml:space="preserve">The process </w:t>
      </w:r>
      <w:r w:rsidR="00F8639F" w:rsidRPr="007E2B4B">
        <w:rPr>
          <w:rFonts w:eastAsia="Times New Roman" w:cstheme="minorHAnsi"/>
        </w:rPr>
        <w:t xml:space="preserve">of developing themes </w:t>
      </w:r>
      <w:r w:rsidRPr="007E2B4B">
        <w:rPr>
          <w:rFonts w:eastAsia="Times New Roman" w:cstheme="minorHAnsi"/>
        </w:rPr>
        <w:t xml:space="preserve">was an inclusive, consultative effort led by </w:t>
      </w:r>
      <w:r w:rsidRPr="007E2B4B">
        <w:rPr>
          <w:rFonts w:cstheme="minorHAnsi"/>
          <w:bCs/>
        </w:rPr>
        <w:t xml:space="preserve">Caltech’s </w:t>
      </w:r>
      <w:r w:rsidR="006C7448" w:rsidRPr="007E2B4B">
        <w:rPr>
          <w:rFonts w:cstheme="minorHAnsi"/>
          <w:bCs/>
        </w:rPr>
        <w:t>provost</w:t>
      </w:r>
      <w:r w:rsidRPr="007E2B4B">
        <w:rPr>
          <w:rFonts w:cstheme="minorHAnsi"/>
          <w:bCs/>
        </w:rPr>
        <w:t xml:space="preserve">, </w:t>
      </w:r>
      <w:r w:rsidRPr="007E2B4B">
        <w:rPr>
          <w:rFonts w:eastAsia="Times New Roman" w:cstheme="minorHAnsi"/>
        </w:rPr>
        <w:t xml:space="preserve">David A. Tirrell, Ross McCollum-William H. Corcoran Professor of Chemistry and Chemical Engineering and Carl and Shirley Larson </w:t>
      </w:r>
      <w:proofErr w:type="spellStart"/>
      <w:r w:rsidRPr="007E2B4B">
        <w:rPr>
          <w:rFonts w:eastAsia="Times New Roman" w:cstheme="minorHAnsi"/>
        </w:rPr>
        <w:t>Provostial</w:t>
      </w:r>
      <w:proofErr w:type="spellEnd"/>
      <w:r w:rsidRPr="007E2B4B">
        <w:rPr>
          <w:rFonts w:eastAsia="Times New Roman" w:cstheme="minorHAnsi"/>
        </w:rPr>
        <w:t xml:space="preserve"> Chair</w:t>
      </w:r>
      <w:r w:rsidR="00D456C6" w:rsidRPr="007E2B4B">
        <w:rPr>
          <w:rFonts w:eastAsia="Times New Roman" w:cstheme="minorHAnsi"/>
        </w:rPr>
        <w:t>,</w:t>
      </w:r>
      <w:r w:rsidR="006C7448" w:rsidRPr="007E2B4B">
        <w:rPr>
          <w:rFonts w:cstheme="minorHAnsi"/>
          <w:bCs/>
        </w:rPr>
        <w:t xml:space="preserve"> and </w:t>
      </w:r>
      <w:r w:rsidRPr="007E2B4B">
        <w:rPr>
          <w:rFonts w:eastAsia="Times New Roman" w:cstheme="minorHAnsi"/>
        </w:rPr>
        <w:t>Cindy Weinstein, Eli and Edythe Broad Professor of English, vice p</w:t>
      </w:r>
      <w:r w:rsidR="00E40D2C" w:rsidRPr="007E2B4B">
        <w:rPr>
          <w:rFonts w:eastAsia="Times New Roman" w:cstheme="minorHAnsi"/>
        </w:rPr>
        <w:t xml:space="preserve">rovost </w:t>
      </w:r>
      <w:r w:rsidRPr="007E2B4B">
        <w:rPr>
          <w:rFonts w:eastAsia="Times New Roman" w:cstheme="minorHAnsi"/>
        </w:rPr>
        <w:t>and chief diversity officer</w:t>
      </w:r>
      <w:r w:rsidR="00D456C6" w:rsidRPr="007E2B4B">
        <w:rPr>
          <w:rFonts w:eastAsia="Times New Roman" w:cstheme="minorHAnsi"/>
        </w:rPr>
        <w:t>.</w:t>
      </w:r>
      <w:r w:rsidR="001765FF" w:rsidRPr="007E2B4B">
        <w:rPr>
          <w:rFonts w:eastAsia="Times New Roman" w:cstheme="minorHAnsi"/>
        </w:rPr>
        <w:t xml:space="preserve">  </w:t>
      </w:r>
      <w:r w:rsidR="00D456C6" w:rsidRPr="007E2B4B">
        <w:rPr>
          <w:rFonts w:cstheme="minorHAnsi"/>
          <w:bCs/>
        </w:rPr>
        <w:t xml:space="preserve">The </w:t>
      </w:r>
      <w:r w:rsidR="00E81344" w:rsidRPr="007E2B4B">
        <w:rPr>
          <w:rFonts w:cstheme="minorHAnsi"/>
          <w:bCs/>
        </w:rPr>
        <w:t xml:space="preserve">reaccreditation </w:t>
      </w:r>
      <w:r w:rsidR="006C7448" w:rsidRPr="007E2B4B">
        <w:rPr>
          <w:rFonts w:cstheme="minorHAnsi"/>
          <w:bCs/>
        </w:rPr>
        <w:t>planning committee</w:t>
      </w:r>
      <w:r w:rsidR="00304C22" w:rsidRPr="007E2B4B">
        <w:rPr>
          <w:rFonts w:cstheme="minorHAnsi"/>
          <w:bCs/>
        </w:rPr>
        <w:t xml:space="preserve"> </w:t>
      </w:r>
      <w:r w:rsidR="00D456C6" w:rsidRPr="007E2B4B">
        <w:rPr>
          <w:rFonts w:cstheme="minorHAnsi"/>
          <w:bCs/>
        </w:rPr>
        <w:t xml:space="preserve">comprises </w:t>
      </w:r>
      <w:r w:rsidR="00304C22" w:rsidRPr="007E2B4B">
        <w:rPr>
          <w:rFonts w:cstheme="minorHAnsi"/>
          <w:bCs/>
        </w:rPr>
        <w:t xml:space="preserve">seven </w:t>
      </w:r>
      <w:r w:rsidR="00FC4D89" w:rsidRPr="007E2B4B">
        <w:rPr>
          <w:rFonts w:cstheme="minorHAnsi"/>
          <w:bCs/>
        </w:rPr>
        <w:t>members</w:t>
      </w:r>
      <w:r w:rsidR="00D456C6" w:rsidRPr="007E2B4B">
        <w:rPr>
          <w:rFonts w:cstheme="minorHAnsi"/>
          <w:bCs/>
        </w:rPr>
        <w:t>: p</w:t>
      </w:r>
      <w:r w:rsidR="00E40D2C" w:rsidRPr="007E2B4B">
        <w:rPr>
          <w:rFonts w:cstheme="minorHAnsi"/>
          <w:bCs/>
        </w:rPr>
        <w:t>rovost Tirrell;</w:t>
      </w:r>
      <w:r w:rsidR="00D456C6" w:rsidRPr="007E2B4B">
        <w:rPr>
          <w:rFonts w:cstheme="minorHAnsi"/>
          <w:bCs/>
        </w:rPr>
        <w:t xml:space="preserve"> </w:t>
      </w:r>
      <w:r w:rsidR="00D456C6" w:rsidRPr="007E2B4B">
        <w:rPr>
          <w:rFonts w:eastAsia="Times New Roman" w:cstheme="minorHAnsi"/>
        </w:rPr>
        <w:t>vice p</w:t>
      </w:r>
      <w:r w:rsidRPr="007E2B4B">
        <w:rPr>
          <w:rFonts w:eastAsia="Times New Roman" w:cstheme="minorHAnsi"/>
        </w:rPr>
        <w:t>rovost Weinstein</w:t>
      </w:r>
      <w:r w:rsidR="001765FF" w:rsidRPr="007E2B4B">
        <w:rPr>
          <w:rFonts w:eastAsia="Times New Roman" w:cstheme="minorHAnsi"/>
        </w:rPr>
        <w:t xml:space="preserve">; </w:t>
      </w:r>
      <w:r w:rsidRPr="007E2B4B">
        <w:rPr>
          <w:rFonts w:eastAsia="Times New Roman" w:cstheme="minorHAnsi"/>
        </w:rPr>
        <w:t>Kaushik Bhattacharya, Howell N. Tyson, Sr., Professor of Mechanics and Materials Science and vice provost; Kevin Gilmartin, Professor of English and dean of undergraduate students; Cas</w:t>
      </w:r>
      <w:r w:rsidR="00EC416F" w:rsidRPr="007E2B4B">
        <w:rPr>
          <w:rFonts w:eastAsia="Times New Roman" w:cstheme="minorHAnsi"/>
        </w:rPr>
        <w:t>s</w:t>
      </w:r>
      <w:r w:rsidRPr="007E2B4B">
        <w:rPr>
          <w:rFonts w:eastAsia="Times New Roman" w:cstheme="minorHAnsi"/>
        </w:rPr>
        <w:t xml:space="preserve">andra Horii, </w:t>
      </w:r>
      <w:r w:rsidR="00E40D2C" w:rsidRPr="007E2B4B">
        <w:rPr>
          <w:rFonts w:eastAsia="Times New Roman" w:cstheme="minorHAnsi"/>
        </w:rPr>
        <w:t>d</w:t>
      </w:r>
      <w:r w:rsidRPr="007E2B4B">
        <w:rPr>
          <w:rFonts w:eastAsia="Times New Roman" w:cstheme="minorHAnsi"/>
        </w:rPr>
        <w:t>irector, Center for Teaching, Learning, and Outreach</w:t>
      </w:r>
      <w:r w:rsidR="00E40D2C" w:rsidRPr="007E2B4B">
        <w:rPr>
          <w:rFonts w:eastAsia="Times New Roman" w:cstheme="minorHAnsi"/>
        </w:rPr>
        <w:t>; Diana Jergovic, vice president for strategy i</w:t>
      </w:r>
      <w:r w:rsidRPr="007E2B4B">
        <w:rPr>
          <w:rFonts w:eastAsia="Times New Roman" w:cstheme="minorHAnsi"/>
        </w:rPr>
        <w:t>mplementation; and Doug</w:t>
      </w:r>
      <w:r w:rsidR="00EC416F" w:rsidRPr="007E2B4B">
        <w:rPr>
          <w:rFonts w:eastAsia="Times New Roman" w:cstheme="minorHAnsi"/>
        </w:rPr>
        <w:t>las</w:t>
      </w:r>
      <w:r w:rsidRPr="007E2B4B">
        <w:rPr>
          <w:rFonts w:eastAsia="Times New Roman" w:cstheme="minorHAnsi"/>
        </w:rPr>
        <w:t xml:space="preserve"> Rees, Roscoe Gilkey Dickinson Professor of Chemistry, Investigator, Howard Hughes Medical Institute, and dean of graduate studies.</w:t>
      </w:r>
    </w:p>
    <w:p w14:paraId="727CE96B" w14:textId="77777777" w:rsidR="00A92BB1" w:rsidRPr="007E2B4B" w:rsidRDefault="00A92BB1" w:rsidP="00A37BDD">
      <w:pPr>
        <w:rPr>
          <w:rFonts w:cstheme="minorHAnsi"/>
          <w:b/>
        </w:rPr>
      </w:pPr>
    </w:p>
    <w:p w14:paraId="7AEC431D" w14:textId="2EE82936" w:rsidR="00D456C6" w:rsidRPr="007E2B4B" w:rsidRDefault="000C7C2C" w:rsidP="00D456C6">
      <w:pPr>
        <w:rPr>
          <w:rFonts w:cstheme="minorHAnsi"/>
          <w:bCs/>
        </w:rPr>
      </w:pPr>
      <w:r w:rsidRPr="007E2B4B">
        <w:rPr>
          <w:rFonts w:cstheme="minorHAnsi"/>
          <w:bCs/>
        </w:rPr>
        <w:t xml:space="preserve">The </w:t>
      </w:r>
      <w:r w:rsidR="00D456C6" w:rsidRPr="007E2B4B">
        <w:rPr>
          <w:rFonts w:cstheme="minorHAnsi"/>
          <w:bCs/>
        </w:rPr>
        <w:t xml:space="preserve">planning </w:t>
      </w:r>
      <w:r w:rsidRPr="007E2B4B">
        <w:rPr>
          <w:rFonts w:cstheme="minorHAnsi"/>
          <w:bCs/>
        </w:rPr>
        <w:t xml:space="preserve">committee reviewed </w:t>
      </w:r>
      <w:r w:rsidR="00E84C6A" w:rsidRPr="007E2B4B">
        <w:rPr>
          <w:rFonts w:cstheme="minorHAnsi"/>
          <w:bCs/>
        </w:rPr>
        <w:t>the previous accreditation reports, discussed the mid-cycle review and the results of the IEEI</w:t>
      </w:r>
      <w:r w:rsidR="00A24DD6">
        <w:rPr>
          <w:rFonts w:cstheme="minorHAnsi"/>
          <w:bCs/>
        </w:rPr>
        <w:t xml:space="preserve"> (Inventory of Educational Effectiveness Indicators) </w:t>
      </w:r>
      <w:r w:rsidR="00E84C6A" w:rsidRPr="007E2B4B">
        <w:rPr>
          <w:rFonts w:cstheme="minorHAnsi"/>
          <w:bCs/>
        </w:rPr>
        <w:t xml:space="preserve">and WASC feedback, </w:t>
      </w:r>
      <w:r w:rsidR="00895C4C" w:rsidRPr="007E2B4B">
        <w:rPr>
          <w:rFonts w:cstheme="minorHAnsi"/>
          <w:bCs/>
        </w:rPr>
        <w:t xml:space="preserve">with particular attention </w:t>
      </w:r>
      <w:r w:rsidR="00E84C6A" w:rsidRPr="007E2B4B">
        <w:rPr>
          <w:rFonts w:cstheme="minorHAnsi"/>
          <w:bCs/>
        </w:rPr>
        <w:t xml:space="preserve">to </w:t>
      </w:r>
      <w:r w:rsidR="00D82F67" w:rsidRPr="007E2B4B">
        <w:rPr>
          <w:rFonts w:cstheme="minorHAnsi"/>
          <w:bCs/>
        </w:rPr>
        <w:t xml:space="preserve">suggestions made in </w:t>
      </w:r>
      <w:r w:rsidR="00E84C6A" w:rsidRPr="007E2B4B">
        <w:rPr>
          <w:rFonts w:cstheme="minorHAnsi"/>
          <w:bCs/>
        </w:rPr>
        <w:t xml:space="preserve">the </w:t>
      </w:r>
      <w:r w:rsidR="00D82F67" w:rsidRPr="007E2B4B">
        <w:rPr>
          <w:rFonts w:cstheme="minorHAnsi"/>
          <w:bCs/>
        </w:rPr>
        <w:t xml:space="preserve">Commission’s </w:t>
      </w:r>
      <w:r w:rsidR="00AE336D" w:rsidRPr="007E2B4B">
        <w:rPr>
          <w:rFonts w:cstheme="minorHAnsi"/>
          <w:bCs/>
        </w:rPr>
        <w:t xml:space="preserve">2010 letter of accreditation.  </w:t>
      </w:r>
      <w:r w:rsidR="006C7448" w:rsidRPr="007E2B4B">
        <w:rPr>
          <w:rFonts w:cstheme="minorHAnsi"/>
          <w:bCs/>
        </w:rPr>
        <w:t>The planning committee met</w:t>
      </w:r>
      <w:r w:rsidR="00CB2D93" w:rsidRPr="007E2B4B">
        <w:rPr>
          <w:rFonts w:cstheme="minorHAnsi"/>
          <w:bCs/>
        </w:rPr>
        <w:t xml:space="preserve"> twice: first, to discus</w:t>
      </w:r>
      <w:r w:rsidRPr="007E2B4B">
        <w:rPr>
          <w:rFonts w:cstheme="minorHAnsi"/>
          <w:bCs/>
        </w:rPr>
        <w:t xml:space="preserve">s strategies for </w:t>
      </w:r>
      <w:r w:rsidR="00CB2D93" w:rsidRPr="007E2B4B">
        <w:rPr>
          <w:rFonts w:cstheme="minorHAnsi"/>
          <w:bCs/>
        </w:rPr>
        <w:t>outreach to the Caltech community; and second, to discuss the r</w:t>
      </w:r>
      <w:r w:rsidR="00895C4C" w:rsidRPr="007E2B4B">
        <w:rPr>
          <w:rFonts w:cstheme="minorHAnsi"/>
          <w:bCs/>
        </w:rPr>
        <w:t xml:space="preserve">esults of our outreach and the selection of themes </w:t>
      </w:r>
      <w:r w:rsidR="00CB2D93" w:rsidRPr="007E2B4B">
        <w:rPr>
          <w:rFonts w:cstheme="minorHAnsi"/>
          <w:bCs/>
        </w:rPr>
        <w:t>for Component 8, “Institution-Specific Themes,” of the Institutional Review Process.</w:t>
      </w:r>
      <w:r w:rsidRPr="007E2B4B">
        <w:rPr>
          <w:rFonts w:cstheme="minorHAnsi"/>
          <w:bCs/>
        </w:rPr>
        <w:t xml:space="preserve">  </w:t>
      </w:r>
    </w:p>
    <w:p w14:paraId="54D7A266" w14:textId="4DBD3183" w:rsidR="00AE336D" w:rsidRPr="007E2B4B" w:rsidRDefault="00CB2D93" w:rsidP="00D456C6">
      <w:pPr>
        <w:spacing w:before="100" w:beforeAutospacing="1" w:after="100" w:afterAutospacing="1"/>
        <w:rPr>
          <w:rFonts w:eastAsia="Times New Roman" w:cstheme="minorHAnsi"/>
        </w:rPr>
      </w:pPr>
      <w:r w:rsidRPr="007E2B4B">
        <w:rPr>
          <w:rFonts w:cstheme="minorHAnsi"/>
          <w:bCs/>
        </w:rPr>
        <w:t>Members of the planni</w:t>
      </w:r>
      <w:r w:rsidR="000C7C2C" w:rsidRPr="007E2B4B">
        <w:rPr>
          <w:rFonts w:cstheme="minorHAnsi"/>
          <w:bCs/>
        </w:rPr>
        <w:t xml:space="preserve">ng committee </w:t>
      </w:r>
      <w:r w:rsidR="00980B0F" w:rsidRPr="007E2B4B">
        <w:rPr>
          <w:rFonts w:cstheme="minorHAnsi"/>
          <w:bCs/>
        </w:rPr>
        <w:t xml:space="preserve">met with four additional campus committees in order to </w:t>
      </w:r>
      <w:r w:rsidR="00A92AE3" w:rsidRPr="007E2B4B">
        <w:rPr>
          <w:rFonts w:cstheme="minorHAnsi"/>
          <w:bCs/>
        </w:rPr>
        <w:t xml:space="preserve">discuss the valuable features of a Caltech education as a way of working toward potential themes. </w:t>
      </w:r>
      <w:r w:rsidR="004D01C4" w:rsidRPr="007E2B4B">
        <w:rPr>
          <w:rFonts w:cstheme="minorHAnsi"/>
          <w:bCs/>
        </w:rPr>
        <w:t xml:space="preserve">First, we met with members of the Council </w:t>
      </w:r>
      <w:r w:rsidR="00F81A95">
        <w:rPr>
          <w:rFonts w:cstheme="minorHAnsi"/>
          <w:bCs/>
        </w:rPr>
        <w:t>on</w:t>
      </w:r>
      <w:r w:rsidR="004D01C4" w:rsidRPr="007E2B4B">
        <w:rPr>
          <w:rFonts w:cstheme="minorHAnsi"/>
          <w:bCs/>
        </w:rPr>
        <w:t xml:space="preserve"> Undergraduate Education, which comprises three undergraduates, one faculty member from each of the six academic divisions</w:t>
      </w:r>
      <w:r w:rsidR="00F32075" w:rsidRPr="007E2B4B">
        <w:rPr>
          <w:rFonts w:cstheme="minorHAnsi"/>
          <w:bCs/>
        </w:rPr>
        <w:t xml:space="preserve">, </w:t>
      </w:r>
      <w:r w:rsidR="004D01C4" w:rsidRPr="007E2B4B">
        <w:rPr>
          <w:rFonts w:cstheme="minorHAnsi"/>
          <w:bCs/>
        </w:rPr>
        <w:lastRenderedPageBreak/>
        <w:t xml:space="preserve">and </w:t>
      </w:r>
      <w:r w:rsidR="00A92AE3" w:rsidRPr="007E2B4B">
        <w:rPr>
          <w:rFonts w:cstheme="minorHAnsi"/>
          <w:bCs/>
        </w:rPr>
        <w:t xml:space="preserve">the </w:t>
      </w:r>
      <w:r w:rsidR="004D01C4" w:rsidRPr="007E2B4B">
        <w:rPr>
          <w:rFonts w:cstheme="minorHAnsi"/>
          <w:bCs/>
        </w:rPr>
        <w:t xml:space="preserve">chairs of several academic committees, including the Curriculum Committee, the Core Curriculum Steering Committee, </w:t>
      </w:r>
      <w:r w:rsidR="009851E3" w:rsidRPr="007E2B4B">
        <w:rPr>
          <w:rFonts w:cstheme="minorHAnsi"/>
          <w:bCs/>
        </w:rPr>
        <w:t xml:space="preserve">the </w:t>
      </w:r>
      <w:r w:rsidR="004D01C4" w:rsidRPr="007E2B4B">
        <w:rPr>
          <w:rFonts w:cstheme="minorHAnsi"/>
          <w:bCs/>
        </w:rPr>
        <w:t>Undergraduate Academic Standards and Honors</w:t>
      </w:r>
      <w:r w:rsidR="000C7C2C" w:rsidRPr="007E2B4B">
        <w:rPr>
          <w:rFonts w:cstheme="minorHAnsi"/>
          <w:bCs/>
        </w:rPr>
        <w:t xml:space="preserve"> </w:t>
      </w:r>
      <w:r w:rsidR="009851E3" w:rsidRPr="007E2B4B">
        <w:rPr>
          <w:rFonts w:cstheme="minorHAnsi"/>
          <w:bCs/>
        </w:rPr>
        <w:t>Committee</w:t>
      </w:r>
      <w:r w:rsidR="004D01C4" w:rsidRPr="007E2B4B">
        <w:rPr>
          <w:rFonts w:cstheme="minorHAnsi"/>
          <w:bCs/>
        </w:rPr>
        <w:t xml:space="preserve">, </w:t>
      </w:r>
      <w:r w:rsidR="00FE295C">
        <w:rPr>
          <w:rFonts w:cstheme="minorHAnsi"/>
          <w:bCs/>
        </w:rPr>
        <w:t xml:space="preserve">the Freshman Admissions Committee, </w:t>
      </w:r>
      <w:r w:rsidR="004D01C4" w:rsidRPr="007E2B4B">
        <w:rPr>
          <w:rFonts w:cstheme="minorHAnsi"/>
          <w:bCs/>
        </w:rPr>
        <w:t>the Registrar, the undergraduate dean, and the chair of the faculty board.  Second, we met with members of the Graduate Student Council</w:t>
      </w:r>
      <w:r w:rsidR="00A65EE5">
        <w:rPr>
          <w:rFonts w:cstheme="minorHAnsi"/>
          <w:bCs/>
        </w:rPr>
        <w:t xml:space="preserve"> Board of Directors, which consists of elected graduate student leaders</w:t>
      </w:r>
      <w:r w:rsidR="004D01C4" w:rsidRPr="007E2B4B">
        <w:rPr>
          <w:rFonts w:cstheme="minorHAnsi"/>
          <w:bCs/>
        </w:rPr>
        <w:t xml:space="preserve">.  Third, we met with </w:t>
      </w:r>
      <w:r w:rsidR="00861EE1" w:rsidRPr="007E2B4B">
        <w:rPr>
          <w:rFonts w:cstheme="minorHAnsi"/>
          <w:bCs/>
        </w:rPr>
        <w:t xml:space="preserve">members of the </w:t>
      </w:r>
      <w:r w:rsidR="004D01C4" w:rsidRPr="007E2B4B">
        <w:rPr>
          <w:rFonts w:cstheme="minorHAnsi"/>
          <w:bCs/>
        </w:rPr>
        <w:t>Academic</w:t>
      </w:r>
      <w:r w:rsidR="00F81A95">
        <w:rPr>
          <w:rFonts w:cstheme="minorHAnsi"/>
          <w:bCs/>
        </w:rPr>
        <w:t>s and</w:t>
      </w:r>
      <w:r w:rsidR="004D01C4" w:rsidRPr="007E2B4B">
        <w:rPr>
          <w:rFonts w:cstheme="minorHAnsi"/>
          <w:bCs/>
        </w:rPr>
        <w:t xml:space="preserve"> Research </w:t>
      </w:r>
      <w:r w:rsidR="00F81A95">
        <w:rPr>
          <w:rFonts w:cstheme="minorHAnsi"/>
          <w:bCs/>
        </w:rPr>
        <w:t>Committee</w:t>
      </w:r>
      <w:r w:rsidR="004D01C4" w:rsidRPr="007E2B4B">
        <w:rPr>
          <w:rFonts w:cstheme="minorHAnsi"/>
          <w:bCs/>
        </w:rPr>
        <w:t xml:space="preserve">, which comprises undergraduates, the undergraduate dean, and the two undergraduate </w:t>
      </w:r>
      <w:r w:rsidR="00861EE1" w:rsidRPr="007E2B4B">
        <w:rPr>
          <w:rFonts w:cstheme="minorHAnsi"/>
          <w:bCs/>
        </w:rPr>
        <w:t xml:space="preserve">associate </w:t>
      </w:r>
      <w:r w:rsidR="004D01C4" w:rsidRPr="007E2B4B">
        <w:rPr>
          <w:rFonts w:cstheme="minorHAnsi"/>
          <w:bCs/>
        </w:rPr>
        <w:t>deans.  Fourth, we met with the leadership of the faculty board, including the chair and the secretary.</w:t>
      </w:r>
      <w:r w:rsidR="00A92AE3" w:rsidRPr="007E2B4B">
        <w:rPr>
          <w:rFonts w:cstheme="minorHAnsi"/>
          <w:bCs/>
        </w:rPr>
        <w:t xml:space="preserve">  The themes were announced </w:t>
      </w:r>
      <w:r w:rsidR="00C32821" w:rsidRPr="007E2B4B">
        <w:rPr>
          <w:rFonts w:cstheme="minorHAnsi"/>
          <w:bCs/>
        </w:rPr>
        <w:t xml:space="preserve">and discussed </w:t>
      </w:r>
      <w:r w:rsidR="00A92AE3" w:rsidRPr="007E2B4B">
        <w:rPr>
          <w:rFonts w:cstheme="minorHAnsi"/>
          <w:bCs/>
        </w:rPr>
        <w:t xml:space="preserve">at the </w:t>
      </w:r>
      <w:proofErr w:type="gramStart"/>
      <w:r w:rsidR="00A92AE3" w:rsidRPr="007E2B4B">
        <w:rPr>
          <w:rFonts w:cstheme="minorHAnsi"/>
          <w:bCs/>
        </w:rPr>
        <w:t>May</w:t>
      </w:r>
      <w:r w:rsidR="00C32821" w:rsidRPr="007E2B4B">
        <w:rPr>
          <w:rFonts w:cstheme="minorHAnsi"/>
          <w:bCs/>
        </w:rPr>
        <w:t>,</w:t>
      </w:r>
      <w:proofErr w:type="gramEnd"/>
      <w:r w:rsidR="00C32821" w:rsidRPr="007E2B4B">
        <w:rPr>
          <w:rFonts w:cstheme="minorHAnsi"/>
          <w:bCs/>
        </w:rPr>
        <w:t xml:space="preserve"> 2018</w:t>
      </w:r>
      <w:r w:rsidR="00A92AE3" w:rsidRPr="007E2B4B">
        <w:rPr>
          <w:rFonts w:cstheme="minorHAnsi"/>
          <w:bCs/>
        </w:rPr>
        <w:t xml:space="preserve"> faculty board meeting.    </w:t>
      </w:r>
      <w:r w:rsidR="000C7C2C" w:rsidRPr="007E2B4B">
        <w:rPr>
          <w:rFonts w:cstheme="minorHAnsi"/>
          <w:bCs/>
        </w:rPr>
        <w:t xml:space="preserve">  </w:t>
      </w:r>
    </w:p>
    <w:p w14:paraId="6F7E0E6D" w14:textId="77777777" w:rsidR="006C7448" w:rsidRPr="007E2B4B" w:rsidRDefault="000C7C2C" w:rsidP="002A6473">
      <w:pPr>
        <w:rPr>
          <w:rFonts w:cstheme="minorHAnsi"/>
          <w:bCs/>
        </w:rPr>
      </w:pPr>
      <w:r w:rsidRPr="007E2B4B">
        <w:rPr>
          <w:rFonts w:cstheme="minorHAnsi"/>
          <w:bCs/>
        </w:rPr>
        <w:t xml:space="preserve">The feedback </w:t>
      </w:r>
      <w:r w:rsidR="002A6473" w:rsidRPr="007E2B4B">
        <w:rPr>
          <w:rFonts w:cstheme="minorHAnsi"/>
          <w:bCs/>
        </w:rPr>
        <w:t>was remarkably consistent</w:t>
      </w:r>
      <w:r w:rsidR="00C32821" w:rsidRPr="007E2B4B">
        <w:rPr>
          <w:rFonts w:cstheme="minorHAnsi"/>
          <w:bCs/>
        </w:rPr>
        <w:t xml:space="preserve"> and positive</w:t>
      </w:r>
      <w:r w:rsidR="002A6473" w:rsidRPr="007E2B4B">
        <w:rPr>
          <w:rFonts w:cstheme="minorHAnsi"/>
          <w:bCs/>
        </w:rPr>
        <w:t>, which</w:t>
      </w:r>
      <w:r w:rsidRPr="007E2B4B">
        <w:rPr>
          <w:rFonts w:cstheme="minorHAnsi"/>
          <w:bCs/>
        </w:rPr>
        <w:t xml:space="preserve"> </w:t>
      </w:r>
      <w:r w:rsidR="00C32821" w:rsidRPr="007E2B4B">
        <w:rPr>
          <w:rFonts w:cstheme="minorHAnsi"/>
          <w:bCs/>
        </w:rPr>
        <w:t>makes</w:t>
      </w:r>
      <w:r w:rsidRPr="007E2B4B">
        <w:rPr>
          <w:rFonts w:cstheme="minorHAnsi"/>
          <w:bCs/>
        </w:rPr>
        <w:t xml:space="preserve"> the planning committee </w:t>
      </w:r>
      <w:r w:rsidR="00C32821" w:rsidRPr="007E2B4B">
        <w:rPr>
          <w:rFonts w:cstheme="minorHAnsi"/>
          <w:bCs/>
        </w:rPr>
        <w:t>confident</w:t>
      </w:r>
      <w:r w:rsidRPr="007E2B4B">
        <w:rPr>
          <w:rFonts w:cstheme="minorHAnsi"/>
          <w:bCs/>
        </w:rPr>
        <w:t xml:space="preserve"> that our two themes accurately represent </w:t>
      </w:r>
      <w:r w:rsidR="002A6473" w:rsidRPr="007E2B4B">
        <w:rPr>
          <w:rFonts w:cstheme="minorHAnsi"/>
          <w:bCs/>
        </w:rPr>
        <w:t xml:space="preserve">what the community </w:t>
      </w:r>
      <w:r w:rsidR="004B269A" w:rsidRPr="007E2B4B">
        <w:rPr>
          <w:rFonts w:cstheme="minorHAnsi"/>
          <w:bCs/>
        </w:rPr>
        <w:t xml:space="preserve">most values, and what is worth reflecting upon and assessing.  </w:t>
      </w:r>
    </w:p>
    <w:p w14:paraId="51FC509A" w14:textId="77777777" w:rsidR="006C7448" w:rsidRPr="007E2B4B" w:rsidRDefault="006C7448" w:rsidP="006C7448">
      <w:pPr>
        <w:rPr>
          <w:rFonts w:cstheme="minorHAnsi"/>
          <w:b/>
        </w:rPr>
      </w:pPr>
    </w:p>
    <w:p w14:paraId="57ACF817" w14:textId="77777777" w:rsidR="005147D1" w:rsidRPr="007E2B4B" w:rsidRDefault="006C7448" w:rsidP="005147D1">
      <w:pPr>
        <w:rPr>
          <w:rFonts w:cstheme="minorHAnsi"/>
          <w:bCs/>
        </w:rPr>
      </w:pPr>
      <w:r w:rsidRPr="007E2B4B">
        <w:rPr>
          <w:rFonts w:cstheme="minorHAnsi"/>
          <w:b/>
        </w:rPr>
        <w:t>Description of each theme</w:t>
      </w:r>
      <w:r w:rsidR="005147D1" w:rsidRPr="007E2B4B">
        <w:rPr>
          <w:rFonts w:cstheme="minorHAnsi"/>
          <w:bCs/>
        </w:rPr>
        <w:t xml:space="preserve"> </w:t>
      </w:r>
    </w:p>
    <w:p w14:paraId="21B66386" w14:textId="77777777" w:rsidR="005147D1" w:rsidRPr="007E2B4B" w:rsidRDefault="005147D1" w:rsidP="005147D1">
      <w:pPr>
        <w:rPr>
          <w:rFonts w:cstheme="minorHAnsi"/>
          <w:bCs/>
        </w:rPr>
      </w:pPr>
    </w:p>
    <w:p w14:paraId="6D14C4FF" w14:textId="109376BA" w:rsidR="00646D5B" w:rsidRPr="007E2B4B" w:rsidRDefault="00D4359A" w:rsidP="00646D5B">
      <w:pPr>
        <w:rPr>
          <w:rFonts w:cstheme="minorHAnsi"/>
          <w:bCs/>
        </w:rPr>
      </w:pPr>
      <w:r w:rsidRPr="007E2B4B">
        <w:rPr>
          <w:rFonts w:cstheme="minorHAnsi"/>
          <w:b/>
          <w:bCs/>
        </w:rPr>
        <w:t>The Core Curriculum</w:t>
      </w:r>
      <w:r w:rsidRPr="007E2B4B">
        <w:rPr>
          <w:rFonts w:cstheme="minorHAnsi"/>
          <w:bCs/>
        </w:rPr>
        <w:t xml:space="preserve"> is Caltech’s </w:t>
      </w:r>
      <w:r w:rsidR="00C32821" w:rsidRPr="007E2B4B">
        <w:rPr>
          <w:rFonts w:cstheme="minorHAnsi"/>
          <w:bCs/>
        </w:rPr>
        <w:t xml:space="preserve">defining </w:t>
      </w:r>
      <w:r w:rsidRPr="007E2B4B">
        <w:rPr>
          <w:rFonts w:cstheme="minorHAnsi"/>
          <w:bCs/>
        </w:rPr>
        <w:t>academic experience</w:t>
      </w:r>
      <w:r w:rsidR="004B269A" w:rsidRPr="007E2B4B">
        <w:rPr>
          <w:rFonts w:cstheme="minorHAnsi"/>
          <w:bCs/>
        </w:rPr>
        <w:t xml:space="preserve"> and it is critical</w:t>
      </w:r>
      <w:r w:rsidR="00F80856" w:rsidRPr="007E2B4B">
        <w:rPr>
          <w:rFonts w:cstheme="minorHAnsi"/>
          <w:bCs/>
        </w:rPr>
        <w:t xml:space="preserve"> that we continue </w:t>
      </w:r>
      <w:r w:rsidR="00A65EE5">
        <w:rPr>
          <w:rFonts w:cstheme="minorHAnsi"/>
          <w:bCs/>
        </w:rPr>
        <w:t>to</w:t>
      </w:r>
      <w:r w:rsidR="00F80856" w:rsidRPr="007E2B4B">
        <w:rPr>
          <w:rFonts w:cstheme="minorHAnsi"/>
          <w:bCs/>
        </w:rPr>
        <w:t xml:space="preserve"> </w:t>
      </w:r>
      <w:r w:rsidR="003F47FC" w:rsidRPr="007E2B4B">
        <w:rPr>
          <w:rFonts w:cstheme="minorHAnsi"/>
          <w:bCs/>
        </w:rPr>
        <w:t>review its content and assess</w:t>
      </w:r>
      <w:r w:rsidR="004B269A" w:rsidRPr="007E2B4B">
        <w:rPr>
          <w:rFonts w:cstheme="minorHAnsi"/>
          <w:bCs/>
        </w:rPr>
        <w:t xml:space="preserve"> </w:t>
      </w:r>
      <w:r w:rsidR="00F80856" w:rsidRPr="007E2B4B">
        <w:rPr>
          <w:rFonts w:cstheme="minorHAnsi"/>
          <w:bCs/>
        </w:rPr>
        <w:t>its effectiveness</w:t>
      </w:r>
      <w:r w:rsidRPr="007E2B4B">
        <w:rPr>
          <w:rFonts w:cstheme="minorHAnsi"/>
          <w:bCs/>
        </w:rPr>
        <w:t>.</w:t>
      </w:r>
      <w:r w:rsidR="0072787D" w:rsidRPr="007E2B4B">
        <w:rPr>
          <w:rFonts w:cstheme="minorHAnsi"/>
          <w:bCs/>
        </w:rPr>
        <w:t xml:space="preserve">  </w:t>
      </w:r>
      <w:r w:rsidR="00646D5B" w:rsidRPr="007E2B4B">
        <w:rPr>
          <w:rFonts w:cstheme="minorHAnsi"/>
          <w:bCs/>
        </w:rPr>
        <w:t xml:space="preserve">An evaluation of the Core </w:t>
      </w:r>
      <w:r w:rsidR="00006248" w:rsidRPr="007E2B4B">
        <w:rPr>
          <w:rFonts w:cstheme="minorHAnsi"/>
          <w:bCs/>
        </w:rPr>
        <w:t>demonstrates Caltech’s commitment to Standard One, “Defining Institutional Purposes and Ensuring Educa</w:t>
      </w:r>
      <w:r w:rsidR="00B02CDA" w:rsidRPr="007E2B4B">
        <w:rPr>
          <w:rFonts w:cstheme="minorHAnsi"/>
          <w:bCs/>
        </w:rPr>
        <w:t>tional Objectives (CFR 1.2), and also f</w:t>
      </w:r>
      <w:r w:rsidR="00646D5B" w:rsidRPr="007E2B4B">
        <w:rPr>
          <w:rFonts w:cstheme="minorHAnsi"/>
          <w:bCs/>
        </w:rPr>
        <w:t>ocuses the community on Standard Two, “Achieving Educational Objectives through C</w:t>
      </w:r>
      <w:r w:rsidR="00A37BDD" w:rsidRPr="007E2B4B">
        <w:rPr>
          <w:rFonts w:cstheme="minorHAnsi"/>
          <w:bCs/>
        </w:rPr>
        <w:t>ore Function</w:t>
      </w:r>
      <w:r w:rsidR="00B02CDA" w:rsidRPr="007E2B4B">
        <w:rPr>
          <w:rFonts w:cstheme="minorHAnsi"/>
          <w:bCs/>
        </w:rPr>
        <w:t>s</w:t>
      </w:r>
      <w:r w:rsidR="00646D5B" w:rsidRPr="007E2B4B">
        <w:rPr>
          <w:rFonts w:cstheme="minorHAnsi"/>
          <w:bCs/>
        </w:rPr>
        <w:t>”</w:t>
      </w:r>
      <w:r w:rsidR="00A37BDD" w:rsidRPr="007E2B4B">
        <w:rPr>
          <w:rFonts w:cstheme="minorHAnsi"/>
          <w:bCs/>
        </w:rPr>
        <w:t xml:space="preserve"> </w:t>
      </w:r>
      <w:r w:rsidR="00B02CDA" w:rsidRPr="007E2B4B">
        <w:rPr>
          <w:rFonts w:cstheme="minorHAnsi"/>
          <w:bCs/>
        </w:rPr>
        <w:t xml:space="preserve">(CFR 2.3, 2.4, 2.5, 2.6, 2.7, 2.10, 2.12) </w:t>
      </w:r>
      <w:r w:rsidR="00A37BDD" w:rsidRPr="007E2B4B">
        <w:rPr>
          <w:rFonts w:cstheme="minorHAnsi"/>
          <w:bCs/>
        </w:rPr>
        <w:t>and Standard Four, “Creating an Organization Committed to Quality Assurance, Institut</w:t>
      </w:r>
      <w:r w:rsidR="00B02CDA" w:rsidRPr="007E2B4B">
        <w:rPr>
          <w:rFonts w:cstheme="minorHAnsi"/>
          <w:bCs/>
        </w:rPr>
        <w:t>ional Learning, and Improvement</w:t>
      </w:r>
      <w:r w:rsidR="00A37BDD" w:rsidRPr="007E2B4B">
        <w:rPr>
          <w:rFonts w:cstheme="minorHAnsi"/>
          <w:bCs/>
        </w:rPr>
        <w:t>”</w:t>
      </w:r>
      <w:r w:rsidR="00B02CDA" w:rsidRPr="007E2B4B">
        <w:rPr>
          <w:rFonts w:cstheme="minorHAnsi"/>
          <w:bCs/>
        </w:rPr>
        <w:t xml:space="preserve"> (CFR 4.1, 4.2, 4.3, 4.4, 4.5, 4.6, 4.7).</w:t>
      </w:r>
      <w:r w:rsidR="00646D5B" w:rsidRPr="007E2B4B">
        <w:rPr>
          <w:rFonts w:cstheme="minorHAnsi"/>
          <w:bCs/>
        </w:rPr>
        <w:t xml:space="preserve">  </w:t>
      </w:r>
      <w:r w:rsidR="004B269A" w:rsidRPr="007E2B4B">
        <w:rPr>
          <w:rFonts w:cstheme="minorHAnsi"/>
          <w:bCs/>
        </w:rPr>
        <w:t>In undertaking a thorough</w:t>
      </w:r>
      <w:r w:rsidR="00646D5B" w:rsidRPr="007E2B4B">
        <w:rPr>
          <w:rFonts w:cstheme="minorHAnsi"/>
          <w:bCs/>
        </w:rPr>
        <w:t xml:space="preserve"> review </w:t>
      </w:r>
      <w:r w:rsidR="00A37BDD" w:rsidRPr="007E2B4B">
        <w:rPr>
          <w:rFonts w:cstheme="minorHAnsi"/>
          <w:bCs/>
        </w:rPr>
        <w:t>and assessment of the Core, Caltech can determine if we are achieving the desired outcomes</w:t>
      </w:r>
      <w:r w:rsidR="00646D5B" w:rsidRPr="007E2B4B">
        <w:rPr>
          <w:rFonts w:cstheme="minorHAnsi"/>
          <w:bCs/>
        </w:rPr>
        <w:t xml:space="preserve">. </w:t>
      </w:r>
      <w:r w:rsidR="004B269A" w:rsidRPr="007E2B4B">
        <w:rPr>
          <w:rFonts w:cstheme="minorHAnsi"/>
          <w:bCs/>
        </w:rPr>
        <w:t xml:space="preserve"> This assessment will be undertaken</w:t>
      </w:r>
      <w:r w:rsidR="00A37BDD" w:rsidRPr="007E2B4B">
        <w:rPr>
          <w:rFonts w:cstheme="minorHAnsi"/>
          <w:bCs/>
        </w:rPr>
        <w:t xml:space="preserve"> by Caltech’</w:t>
      </w:r>
      <w:r w:rsidR="005B5B04" w:rsidRPr="007E2B4B">
        <w:rPr>
          <w:rFonts w:cstheme="minorHAnsi"/>
          <w:bCs/>
        </w:rPr>
        <w:t>s I</w:t>
      </w:r>
      <w:r w:rsidR="003F47FC" w:rsidRPr="007E2B4B">
        <w:rPr>
          <w:rFonts w:cstheme="minorHAnsi"/>
          <w:bCs/>
        </w:rPr>
        <w:t>nstitutional</w:t>
      </w:r>
      <w:r w:rsidR="005B5B04" w:rsidRPr="007E2B4B">
        <w:rPr>
          <w:rFonts w:cstheme="minorHAnsi"/>
          <w:bCs/>
        </w:rPr>
        <w:t xml:space="preserve"> R</w:t>
      </w:r>
      <w:r w:rsidR="00A37BDD" w:rsidRPr="007E2B4B">
        <w:rPr>
          <w:rFonts w:cstheme="minorHAnsi"/>
          <w:bCs/>
        </w:rPr>
        <w:t>esea</w:t>
      </w:r>
      <w:r w:rsidR="005B5B04" w:rsidRPr="007E2B4B">
        <w:rPr>
          <w:rFonts w:cstheme="minorHAnsi"/>
          <w:bCs/>
        </w:rPr>
        <w:t>rch O</w:t>
      </w:r>
      <w:r w:rsidR="00A37BDD" w:rsidRPr="007E2B4B">
        <w:rPr>
          <w:rFonts w:cstheme="minorHAnsi"/>
          <w:bCs/>
        </w:rPr>
        <w:t>ffice, with</w:t>
      </w:r>
      <w:r w:rsidR="005B5B04" w:rsidRPr="007E2B4B">
        <w:rPr>
          <w:rFonts w:cstheme="minorHAnsi"/>
          <w:bCs/>
        </w:rPr>
        <w:t xml:space="preserve"> longitudinal data from the R</w:t>
      </w:r>
      <w:r w:rsidR="003F47FC" w:rsidRPr="007E2B4B">
        <w:rPr>
          <w:rFonts w:cstheme="minorHAnsi"/>
          <w:bCs/>
        </w:rPr>
        <w:t>egistrar’</w:t>
      </w:r>
      <w:r w:rsidR="005B5B04" w:rsidRPr="007E2B4B">
        <w:rPr>
          <w:rFonts w:cstheme="minorHAnsi"/>
          <w:bCs/>
        </w:rPr>
        <w:t>s O</w:t>
      </w:r>
      <w:r w:rsidR="003F47FC" w:rsidRPr="007E2B4B">
        <w:rPr>
          <w:rFonts w:cstheme="minorHAnsi"/>
          <w:bCs/>
        </w:rPr>
        <w:t xml:space="preserve">ffice, </w:t>
      </w:r>
      <w:r w:rsidR="005B5B04" w:rsidRPr="007E2B4B">
        <w:rPr>
          <w:rFonts w:cstheme="minorHAnsi"/>
          <w:bCs/>
        </w:rPr>
        <w:t>the Center for Teaching, Learning, and O</w:t>
      </w:r>
      <w:r w:rsidR="003F47FC" w:rsidRPr="007E2B4B">
        <w:rPr>
          <w:rFonts w:cstheme="minorHAnsi"/>
          <w:bCs/>
        </w:rPr>
        <w:t xml:space="preserve">utreach, </w:t>
      </w:r>
      <w:r w:rsidR="005B5B04" w:rsidRPr="007E2B4B">
        <w:rPr>
          <w:rFonts w:cstheme="minorHAnsi"/>
          <w:bCs/>
        </w:rPr>
        <w:t xml:space="preserve">teaching </w:t>
      </w:r>
      <w:r w:rsidR="003F47FC" w:rsidRPr="007E2B4B">
        <w:rPr>
          <w:rFonts w:cstheme="minorHAnsi"/>
          <w:bCs/>
        </w:rPr>
        <w:t>quality feedback surveys, and the undergraduate deans</w:t>
      </w:r>
      <w:r w:rsidR="005B5B04" w:rsidRPr="007E2B4B">
        <w:rPr>
          <w:rFonts w:cstheme="minorHAnsi"/>
          <w:bCs/>
        </w:rPr>
        <w:t>’</w:t>
      </w:r>
      <w:r w:rsidR="003F47FC" w:rsidRPr="007E2B4B">
        <w:rPr>
          <w:rFonts w:cstheme="minorHAnsi"/>
          <w:bCs/>
        </w:rPr>
        <w:t xml:space="preserve"> office.  </w:t>
      </w:r>
      <w:r w:rsidR="00A37BDD" w:rsidRPr="007E2B4B">
        <w:rPr>
          <w:rFonts w:cstheme="minorHAnsi"/>
          <w:bCs/>
        </w:rPr>
        <w:t xml:space="preserve"> </w:t>
      </w:r>
      <w:r w:rsidR="00646D5B" w:rsidRPr="007E2B4B">
        <w:rPr>
          <w:rFonts w:cstheme="minorHAnsi"/>
          <w:bCs/>
        </w:rPr>
        <w:t xml:space="preserve"> </w:t>
      </w:r>
    </w:p>
    <w:p w14:paraId="50D6691D" w14:textId="77777777" w:rsidR="00646D5B" w:rsidRPr="007E2B4B" w:rsidRDefault="00646D5B" w:rsidP="00646D5B">
      <w:pPr>
        <w:rPr>
          <w:rFonts w:cstheme="minorHAnsi"/>
          <w:bCs/>
        </w:rPr>
      </w:pPr>
    </w:p>
    <w:p w14:paraId="4C8B6EC0" w14:textId="6E6AF448" w:rsidR="0072787D" w:rsidRPr="007E2B4B" w:rsidRDefault="00F80856" w:rsidP="0072787D">
      <w:pPr>
        <w:rPr>
          <w:rFonts w:cstheme="minorHAnsi"/>
          <w:bCs/>
        </w:rPr>
      </w:pPr>
      <w:r w:rsidRPr="007E2B4B">
        <w:rPr>
          <w:rFonts w:cstheme="minorHAnsi"/>
          <w:bCs/>
        </w:rPr>
        <w:t>Since the last accreditation cycle, t</w:t>
      </w:r>
      <w:r w:rsidR="0072787D" w:rsidRPr="007E2B4B">
        <w:rPr>
          <w:rFonts w:cstheme="minorHAnsi"/>
          <w:bCs/>
        </w:rPr>
        <w:t>he C</w:t>
      </w:r>
      <w:r w:rsidRPr="007E2B4B">
        <w:rPr>
          <w:rFonts w:cstheme="minorHAnsi"/>
          <w:bCs/>
        </w:rPr>
        <w:t xml:space="preserve">ore has </w:t>
      </w:r>
      <w:r w:rsidR="005B5B04" w:rsidRPr="007E2B4B">
        <w:rPr>
          <w:rFonts w:cstheme="minorHAnsi"/>
          <w:bCs/>
        </w:rPr>
        <w:t xml:space="preserve">been revised </w:t>
      </w:r>
      <w:r w:rsidRPr="007E2B4B">
        <w:rPr>
          <w:rFonts w:cstheme="minorHAnsi"/>
          <w:bCs/>
        </w:rPr>
        <w:t xml:space="preserve">with the goal </w:t>
      </w:r>
      <w:r w:rsidR="0072787D" w:rsidRPr="007E2B4B">
        <w:rPr>
          <w:rFonts w:cstheme="minorHAnsi"/>
          <w:bCs/>
        </w:rPr>
        <w:t xml:space="preserve">of exposing students to new fields of inquiry and enabling students to complete the Core more quickly so that they can </w:t>
      </w:r>
      <w:r w:rsidR="005B5B04" w:rsidRPr="007E2B4B">
        <w:rPr>
          <w:rFonts w:cstheme="minorHAnsi"/>
          <w:bCs/>
        </w:rPr>
        <w:t xml:space="preserve">explore </w:t>
      </w:r>
      <w:r w:rsidR="0072787D" w:rsidRPr="007E2B4B">
        <w:rPr>
          <w:rFonts w:cstheme="minorHAnsi"/>
          <w:bCs/>
        </w:rPr>
        <w:t xml:space="preserve">academic areas </w:t>
      </w:r>
      <w:r w:rsidR="005B5B04" w:rsidRPr="007E2B4B">
        <w:rPr>
          <w:rFonts w:cstheme="minorHAnsi"/>
          <w:bCs/>
        </w:rPr>
        <w:t xml:space="preserve">beyond </w:t>
      </w:r>
      <w:r w:rsidR="0072787D" w:rsidRPr="007E2B4B">
        <w:rPr>
          <w:rFonts w:cstheme="minorHAnsi"/>
          <w:bCs/>
        </w:rPr>
        <w:t>the Core</w:t>
      </w:r>
      <w:r w:rsidRPr="007E2B4B">
        <w:rPr>
          <w:rFonts w:cstheme="minorHAnsi"/>
          <w:bCs/>
        </w:rPr>
        <w:t xml:space="preserve">. </w:t>
      </w:r>
      <w:r w:rsidR="0072787D" w:rsidRPr="007E2B4B">
        <w:rPr>
          <w:rFonts w:cstheme="minorHAnsi"/>
          <w:bCs/>
        </w:rPr>
        <w:t xml:space="preserve"> </w:t>
      </w:r>
      <w:r w:rsidR="00646D5B" w:rsidRPr="007E2B4B">
        <w:rPr>
          <w:rFonts w:cstheme="minorHAnsi"/>
          <w:bCs/>
        </w:rPr>
        <w:t xml:space="preserve">Have </w:t>
      </w:r>
      <w:r w:rsidR="005B5B04" w:rsidRPr="007E2B4B">
        <w:rPr>
          <w:rFonts w:cstheme="minorHAnsi"/>
          <w:bCs/>
        </w:rPr>
        <w:t>all the changes been positive</w:t>
      </w:r>
      <w:r w:rsidR="00646D5B" w:rsidRPr="007E2B4B">
        <w:rPr>
          <w:rFonts w:cstheme="minorHAnsi"/>
          <w:bCs/>
        </w:rPr>
        <w:t xml:space="preserve">?  </w:t>
      </w:r>
      <w:r w:rsidR="00A37BDD" w:rsidRPr="007E2B4B">
        <w:rPr>
          <w:rFonts w:cstheme="minorHAnsi"/>
          <w:bCs/>
        </w:rPr>
        <w:t>Are our objectives being met, and if not, w</w:t>
      </w:r>
      <w:r w:rsidR="00646D5B" w:rsidRPr="007E2B4B">
        <w:rPr>
          <w:rFonts w:cstheme="minorHAnsi"/>
          <w:bCs/>
        </w:rPr>
        <w:t xml:space="preserve">hat needs improvement?  </w:t>
      </w:r>
      <w:r w:rsidR="005B5B04" w:rsidRPr="007E2B4B">
        <w:rPr>
          <w:rFonts w:cstheme="minorHAnsi"/>
          <w:bCs/>
        </w:rPr>
        <w:t>At what pace</w:t>
      </w:r>
      <w:r w:rsidR="00646D5B" w:rsidRPr="007E2B4B">
        <w:rPr>
          <w:rFonts w:cstheme="minorHAnsi"/>
          <w:bCs/>
        </w:rPr>
        <w:t xml:space="preserve"> are students completing the Core?  Is the community satisfied with </w:t>
      </w:r>
      <w:r w:rsidR="005B5B04" w:rsidRPr="007E2B4B">
        <w:rPr>
          <w:rFonts w:cstheme="minorHAnsi"/>
          <w:bCs/>
        </w:rPr>
        <w:t xml:space="preserve">the balance </w:t>
      </w:r>
      <w:r w:rsidR="00646D5B" w:rsidRPr="007E2B4B">
        <w:rPr>
          <w:rFonts w:cstheme="minorHAnsi"/>
          <w:bCs/>
        </w:rPr>
        <w:t>of disciplines?  Is the Core laying the groundwork for student success in advanced classes?</w:t>
      </w:r>
      <w:r w:rsidR="005B5B04" w:rsidRPr="007E2B4B">
        <w:rPr>
          <w:rFonts w:cstheme="minorHAnsi"/>
          <w:bCs/>
        </w:rPr>
        <w:t xml:space="preserve">  </w:t>
      </w:r>
      <w:r w:rsidR="0072787D" w:rsidRPr="007E2B4B">
        <w:rPr>
          <w:rFonts w:cstheme="minorHAnsi"/>
          <w:bCs/>
        </w:rPr>
        <w:t>W</w:t>
      </w:r>
      <w:r w:rsidRPr="007E2B4B">
        <w:rPr>
          <w:rFonts w:cstheme="minorHAnsi"/>
          <w:bCs/>
        </w:rPr>
        <w:t xml:space="preserve">e have decreased the number of math and physics classes, added biology, and restructured the humanities and social sciences requirements so </w:t>
      </w:r>
      <w:r w:rsidR="005B5B04" w:rsidRPr="007E2B4B">
        <w:rPr>
          <w:rFonts w:cstheme="minorHAnsi"/>
          <w:bCs/>
        </w:rPr>
        <w:t xml:space="preserve">that students write more and faculty </w:t>
      </w:r>
      <w:r w:rsidRPr="007E2B4B">
        <w:rPr>
          <w:rFonts w:cstheme="minorHAnsi"/>
          <w:bCs/>
        </w:rPr>
        <w:t xml:space="preserve">provide greater feedback.  The Core now </w:t>
      </w:r>
      <w:r w:rsidR="00D4359A" w:rsidRPr="007E2B4B">
        <w:rPr>
          <w:rFonts w:cstheme="minorHAnsi"/>
          <w:bCs/>
        </w:rPr>
        <w:t xml:space="preserve">comprises three quarters of </w:t>
      </w:r>
      <w:r w:rsidR="00566749" w:rsidRPr="007E2B4B">
        <w:rPr>
          <w:rFonts w:cstheme="minorHAnsi"/>
          <w:bCs/>
        </w:rPr>
        <w:t>m</w:t>
      </w:r>
      <w:r w:rsidR="00D4359A" w:rsidRPr="007E2B4B">
        <w:rPr>
          <w:rFonts w:cstheme="minorHAnsi"/>
          <w:bCs/>
        </w:rPr>
        <w:t xml:space="preserve">athematics, three quarters of </w:t>
      </w:r>
      <w:r w:rsidR="00566749" w:rsidRPr="007E2B4B">
        <w:rPr>
          <w:rFonts w:cstheme="minorHAnsi"/>
          <w:bCs/>
        </w:rPr>
        <w:t>p</w:t>
      </w:r>
      <w:r w:rsidR="00D4359A" w:rsidRPr="007E2B4B">
        <w:rPr>
          <w:rFonts w:cstheme="minorHAnsi"/>
          <w:bCs/>
        </w:rPr>
        <w:t xml:space="preserve">hysics, two quarters of </w:t>
      </w:r>
      <w:r w:rsidR="00566749" w:rsidRPr="007E2B4B">
        <w:rPr>
          <w:rFonts w:cstheme="minorHAnsi"/>
          <w:bCs/>
        </w:rPr>
        <w:t>c</w:t>
      </w:r>
      <w:r w:rsidR="00D4359A" w:rsidRPr="007E2B4B">
        <w:rPr>
          <w:rFonts w:cstheme="minorHAnsi"/>
          <w:bCs/>
        </w:rPr>
        <w:t>hemi</w:t>
      </w:r>
      <w:r w:rsidR="005B5B04" w:rsidRPr="007E2B4B">
        <w:rPr>
          <w:rFonts w:cstheme="minorHAnsi"/>
          <w:bCs/>
        </w:rPr>
        <w:t>stry, one</w:t>
      </w:r>
      <w:r w:rsidR="00D4359A" w:rsidRPr="007E2B4B">
        <w:rPr>
          <w:rFonts w:cstheme="minorHAnsi"/>
          <w:bCs/>
        </w:rPr>
        <w:t xml:space="preserve"> quarter of biology, </w:t>
      </w:r>
      <w:r w:rsidR="005B5B04" w:rsidRPr="007E2B4B">
        <w:rPr>
          <w:rFonts w:cstheme="minorHAnsi"/>
          <w:bCs/>
        </w:rPr>
        <w:t>one</w:t>
      </w:r>
      <w:r w:rsidR="00D4359A" w:rsidRPr="007E2B4B">
        <w:rPr>
          <w:rFonts w:cstheme="minorHAnsi"/>
          <w:bCs/>
        </w:rPr>
        <w:t xml:space="preserve"> chemistry laboratory course, and one additional laboratory course.  Students also take a “menu course” in a discipline outside of the core.  This </w:t>
      </w:r>
      <w:r w:rsidR="005B5B04" w:rsidRPr="007E2B4B">
        <w:rPr>
          <w:rFonts w:cstheme="minorHAnsi"/>
          <w:bCs/>
        </w:rPr>
        <w:t xml:space="preserve">can </w:t>
      </w:r>
      <w:r w:rsidR="00D4359A" w:rsidRPr="007E2B4B">
        <w:rPr>
          <w:rFonts w:cstheme="minorHAnsi"/>
          <w:bCs/>
        </w:rPr>
        <w:t>be introductory astronomy, geology, or information science and technology.  Students must also complete twelve courses in humanities and social</w:t>
      </w:r>
      <w:r w:rsidR="00CC173D" w:rsidRPr="007E2B4B">
        <w:rPr>
          <w:rFonts w:cstheme="minorHAnsi"/>
          <w:bCs/>
        </w:rPr>
        <w:t xml:space="preserve"> sciences.  Three</w:t>
      </w:r>
      <w:r w:rsidR="00D4359A" w:rsidRPr="007E2B4B">
        <w:rPr>
          <w:rFonts w:cstheme="minorHAnsi"/>
          <w:bCs/>
        </w:rPr>
        <w:t xml:space="preserve"> physical education class</w:t>
      </w:r>
      <w:r w:rsidR="00CC173D" w:rsidRPr="007E2B4B">
        <w:rPr>
          <w:rFonts w:cstheme="minorHAnsi"/>
          <w:bCs/>
        </w:rPr>
        <w:t>es are</w:t>
      </w:r>
      <w:r w:rsidR="00D4359A" w:rsidRPr="007E2B4B">
        <w:rPr>
          <w:rFonts w:cstheme="minorHAnsi"/>
          <w:bCs/>
        </w:rPr>
        <w:t xml:space="preserve"> also required.</w:t>
      </w:r>
    </w:p>
    <w:p w14:paraId="1C24A733" w14:textId="77777777" w:rsidR="00D4359A" w:rsidRPr="007E2B4B" w:rsidRDefault="00D4359A" w:rsidP="005147D1">
      <w:pPr>
        <w:rPr>
          <w:rFonts w:cstheme="minorHAnsi"/>
          <w:bCs/>
        </w:rPr>
      </w:pPr>
    </w:p>
    <w:p w14:paraId="452F1523" w14:textId="06E591C3" w:rsidR="005147D1" w:rsidRPr="007E2B4B" w:rsidRDefault="005147D1" w:rsidP="004278E6">
      <w:pPr>
        <w:rPr>
          <w:rFonts w:cstheme="minorHAnsi"/>
          <w:bCs/>
        </w:rPr>
      </w:pPr>
      <w:r w:rsidRPr="007E2B4B">
        <w:rPr>
          <w:rFonts w:cstheme="minorHAnsi"/>
          <w:bCs/>
        </w:rPr>
        <w:lastRenderedPageBreak/>
        <w:t xml:space="preserve">Caltech </w:t>
      </w:r>
      <w:r w:rsidR="00A37BDD" w:rsidRPr="007E2B4B">
        <w:rPr>
          <w:rFonts w:cstheme="minorHAnsi"/>
          <w:bCs/>
        </w:rPr>
        <w:t>continuously evaluates</w:t>
      </w:r>
      <w:r w:rsidRPr="007E2B4B">
        <w:rPr>
          <w:rFonts w:cstheme="minorHAnsi"/>
          <w:bCs/>
        </w:rPr>
        <w:t xml:space="preserve"> the Cor</w:t>
      </w:r>
      <w:r w:rsidR="00CC173D" w:rsidRPr="007E2B4B">
        <w:rPr>
          <w:rFonts w:cstheme="minorHAnsi"/>
          <w:bCs/>
        </w:rPr>
        <w:t xml:space="preserve">e.  Mechanisms include </w:t>
      </w:r>
      <w:r w:rsidRPr="007E2B4B">
        <w:rPr>
          <w:rFonts w:cstheme="minorHAnsi"/>
          <w:bCs/>
        </w:rPr>
        <w:t xml:space="preserve">the Core Curriculum Steering Committee, the Academic Research </w:t>
      </w:r>
      <w:r w:rsidR="00A65EE5">
        <w:rPr>
          <w:rFonts w:cstheme="minorHAnsi"/>
          <w:bCs/>
        </w:rPr>
        <w:t>Committee,</w:t>
      </w:r>
      <w:r w:rsidRPr="007E2B4B">
        <w:rPr>
          <w:rFonts w:cstheme="minorHAnsi"/>
          <w:bCs/>
        </w:rPr>
        <w:t xml:space="preserve"> the </w:t>
      </w:r>
      <w:r w:rsidR="00A65EE5">
        <w:rPr>
          <w:rFonts w:cstheme="minorHAnsi"/>
          <w:bCs/>
        </w:rPr>
        <w:t>Council</w:t>
      </w:r>
      <w:r w:rsidR="00A65EE5" w:rsidRPr="007E2B4B">
        <w:rPr>
          <w:rFonts w:cstheme="minorHAnsi"/>
          <w:bCs/>
        </w:rPr>
        <w:t xml:space="preserve"> </w:t>
      </w:r>
      <w:r w:rsidR="00A65EE5">
        <w:rPr>
          <w:rFonts w:cstheme="minorHAnsi"/>
          <w:bCs/>
        </w:rPr>
        <w:t>on</w:t>
      </w:r>
      <w:r w:rsidR="00A65EE5" w:rsidRPr="007E2B4B">
        <w:rPr>
          <w:rFonts w:cstheme="minorHAnsi"/>
          <w:bCs/>
        </w:rPr>
        <w:t xml:space="preserve"> </w:t>
      </w:r>
      <w:r w:rsidRPr="007E2B4B">
        <w:rPr>
          <w:rFonts w:cstheme="minorHAnsi"/>
          <w:bCs/>
        </w:rPr>
        <w:t>Undergraduate Education, and the bi-annual Student-Faculty Conference</w:t>
      </w:r>
      <w:r w:rsidR="00CC173D" w:rsidRPr="007E2B4B">
        <w:rPr>
          <w:rFonts w:cstheme="minorHAnsi"/>
          <w:bCs/>
        </w:rPr>
        <w:t xml:space="preserve">, which brings together </w:t>
      </w:r>
      <w:r w:rsidRPr="007E2B4B">
        <w:rPr>
          <w:rFonts w:cstheme="minorHAnsi"/>
          <w:bCs/>
        </w:rPr>
        <w:t xml:space="preserve">undergraduates and faculty </w:t>
      </w:r>
      <w:r w:rsidR="00CC173D" w:rsidRPr="007E2B4B">
        <w:rPr>
          <w:rFonts w:cstheme="minorHAnsi"/>
          <w:bCs/>
        </w:rPr>
        <w:t xml:space="preserve">to </w:t>
      </w:r>
      <w:r w:rsidR="00032FFC" w:rsidRPr="007E2B4B">
        <w:rPr>
          <w:rFonts w:cstheme="minorHAnsi"/>
          <w:bCs/>
        </w:rPr>
        <w:t xml:space="preserve">examine </w:t>
      </w:r>
      <w:r w:rsidRPr="007E2B4B">
        <w:rPr>
          <w:rFonts w:cstheme="minorHAnsi"/>
          <w:bCs/>
        </w:rPr>
        <w:t xml:space="preserve">issues of most concern to the </w:t>
      </w:r>
      <w:r w:rsidR="00CC173D" w:rsidRPr="007E2B4B">
        <w:rPr>
          <w:rFonts w:cstheme="minorHAnsi"/>
          <w:bCs/>
        </w:rPr>
        <w:t>community.  In addition</w:t>
      </w:r>
      <w:r w:rsidRPr="007E2B4B">
        <w:rPr>
          <w:rFonts w:cstheme="minorHAnsi"/>
          <w:bCs/>
        </w:rPr>
        <w:t>,</w:t>
      </w:r>
      <w:r w:rsidR="00CC173D" w:rsidRPr="007E2B4B">
        <w:rPr>
          <w:rFonts w:cstheme="minorHAnsi"/>
          <w:bCs/>
        </w:rPr>
        <w:t xml:space="preserve"> based on previous </w:t>
      </w:r>
      <w:r w:rsidR="00032FFC" w:rsidRPr="007E2B4B">
        <w:rPr>
          <w:rFonts w:cstheme="minorHAnsi"/>
          <w:bCs/>
        </w:rPr>
        <w:t xml:space="preserve">WASC </w:t>
      </w:r>
      <w:r w:rsidR="00CC173D" w:rsidRPr="007E2B4B">
        <w:rPr>
          <w:rFonts w:cstheme="minorHAnsi"/>
          <w:bCs/>
        </w:rPr>
        <w:t>assessments of the Core,</w:t>
      </w:r>
      <w:r w:rsidRPr="007E2B4B">
        <w:rPr>
          <w:rFonts w:cstheme="minorHAnsi"/>
          <w:bCs/>
        </w:rPr>
        <w:t xml:space="preserve"> </w:t>
      </w:r>
      <w:r w:rsidR="00032FFC" w:rsidRPr="007E2B4B">
        <w:rPr>
          <w:rFonts w:cstheme="minorHAnsi"/>
          <w:bCs/>
        </w:rPr>
        <w:t xml:space="preserve">in 2017 </w:t>
      </w:r>
      <w:r w:rsidRPr="007E2B4B">
        <w:rPr>
          <w:rFonts w:cstheme="minorHAnsi"/>
          <w:bCs/>
        </w:rPr>
        <w:t xml:space="preserve">Caltech </w:t>
      </w:r>
      <w:r w:rsidR="00CC173D" w:rsidRPr="007E2B4B">
        <w:rPr>
          <w:rFonts w:cstheme="minorHAnsi"/>
          <w:bCs/>
        </w:rPr>
        <w:t xml:space="preserve">successfully applied for </w:t>
      </w:r>
      <w:r w:rsidR="00032FFC" w:rsidRPr="007E2B4B">
        <w:rPr>
          <w:rFonts w:cstheme="minorHAnsi"/>
          <w:bCs/>
        </w:rPr>
        <w:t xml:space="preserve">and </w:t>
      </w:r>
      <w:r w:rsidRPr="007E2B4B">
        <w:rPr>
          <w:rFonts w:cstheme="minorHAnsi"/>
          <w:bCs/>
        </w:rPr>
        <w:t>received a two-year AAU STEM Education Network Mini-Grant</w:t>
      </w:r>
      <w:r w:rsidR="00CC173D" w:rsidRPr="007E2B4B">
        <w:rPr>
          <w:rFonts w:cstheme="minorHAnsi"/>
          <w:bCs/>
        </w:rPr>
        <w:t>, t</w:t>
      </w:r>
      <w:r w:rsidRPr="007E2B4B">
        <w:rPr>
          <w:rFonts w:cstheme="minorHAnsi"/>
          <w:bCs/>
        </w:rPr>
        <w:t xml:space="preserve">he </w:t>
      </w:r>
      <w:r w:rsidR="00CC173D" w:rsidRPr="007E2B4B">
        <w:rPr>
          <w:rFonts w:cstheme="minorHAnsi"/>
          <w:bCs/>
        </w:rPr>
        <w:t>Inclusive Caltech Core (IC</w:t>
      </w:r>
      <w:r w:rsidR="00CC173D" w:rsidRPr="007E2B4B">
        <w:rPr>
          <w:rFonts w:cstheme="minorHAnsi"/>
          <w:bCs/>
          <w:vertAlign w:val="superscript"/>
        </w:rPr>
        <w:t>2</w:t>
      </w:r>
      <w:r w:rsidR="00CC173D" w:rsidRPr="007E2B4B">
        <w:rPr>
          <w:rFonts w:cstheme="minorHAnsi"/>
          <w:bCs/>
        </w:rPr>
        <w:t xml:space="preserve">).  This </w:t>
      </w:r>
      <w:r w:rsidRPr="007E2B4B">
        <w:rPr>
          <w:rFonts w:cstheme="minorHAnsi"/>
          <w:bCs/>
        </w:rPr>
        <w:t xml:space="preserve">initiative </w:t>
      </w:r>
      <w:r w:rsidR="00CC173D" w:rsidRPr="007E2B4B">
        <w:rPr>
          <w:rFonts w:cstheme="minorHAnsi"/>
          <w:bCs/>
        </w:rPr>
        <w:t xml:space="preserve">is </w:t>
      </w:r>
      <w:r w:rsidRPr="007E2B4B">
        <w:rPr>
          <w:rFonts w:cstheme="minorHAnsi"/>
          <w:bCs/>
        </w:rPr>
        <w:t>designed to improve pedagogy in introductory STEM classes by creating opportunities for faculty to engage with active l</w:t>
      </w:r>
      <w:r w:rsidR="00D4359A" w:rsidRPr="007E2B4B">
        <w:rPr>
          <w:rFonts w:cstheme="minorHAnsi"/>
          <w:bCs/>
        </w:rPr>
        <w:t xml:space="preserve">earning techniques and </w:t>
      </w:r>
      <w:r w:rsidRPr="007E2B4B">
        <w:rPr>
          <w:rFonts w:cstheme="minorHAnsi"/>
          <w:bCs/>
        </w:rPr>
        <w:t xml:space="preserve">to learn about ways of making the classroom more </w:t>
      </w:r>
      <w:r w:rsidR="00D4359A" w:rsidRPr="007E2B4B">
        <w:rPr>
          <w:rFonts w:cstheme="minorHAnsi"/>
          <w:bCs/>
        </w:rPr>
        <w:t>inclusive.</w:t>
      </w:r>
      <w:r w:rsidR="004278E6" w:rsidRPr="007E2B4B">
        <w:rPr>
          <w:rFonts w:cstheme="minorHAnsi"/>
          <w:bCs/>
        </w:rPr>
        <w:t xml:space="preserve">  </w:t>
      </w:r>
      <w:r w:rsidR="00CC173D" w:rsidRPr="007E2B4B">
        <w:rPr>
          <w:rFonts w:cstheme="minorHAnsi"/>
          <w:bCs/>
        </w:rPr>
        <w:t xml:space="preserve">Although </w:t>
      </w:r>
      <w:r w:rsidR="004278E6" w:rsidRPr="007E2B4B">
        <w:rPr>
          <w:rFonts w:cstheme="minorHAnsi"/>
          <w:bCs/>
        </w:rPr>
        <w:t>IC</w:t>
      </w:r>
      <w:r w:rsidR="004278E6" w:rsidRPr="007E2B4B">
        <w:rPr>
          <w:rFonts w:cstheme="minorHAnsi"/>
          <w:bCs/>
          <w:vertAlign w:val="superscript"/>
        </w:rPr>
        <w:t>2</w:t>
      </w:r>
      <w:r w:rsidR="004278E6" w:rsidRPr="007E2B4B">
        <w:rPr>
          <w:rFonts w:cstheme="minorHAnsi"/>
          <w:bCs/>
        </w:rPr>
        <w:t xml:space="preserve"> is</w:t>
      </w:r>
      <w:r w:rsidR="00CC173D" w:rsidRPr="007E2B4B">
        <w:rPr>
          <w:rFonts w:cstheme="minorHAnsi"/>
          <w:bCs/>
        </w:rPr>
        <w:t xml:space="preserve"> still in its first year, faculty and students have shown remarkable </w:t>
      </w:r>
      <w:r w:rsidR="004278E6" w:rsidRPr="007E2B4B">
        <w:rPr>
          <w:rFonts w:cstheme="minorHAnsi"/>
          <w:bCs/>
        </w:rPr>
        <w:t xml:space="preserve">enthusiasm for it, and </w:t>
      </w:r>
      <w:r w:rsidR="00CC173D" w:rsidRPr="007E2B4B">
        <w:rPr>
          <w:rFonts w:cstheme="minorHAnsi"/>
          <w:bCs/>
        </w:rPr>
        <w:t xml:space="preserve">it has already </w:t>
      </w:r>
      <w:r w:rsidR="00BE79F6">
        <w:rPr>
          <w:rFonts w:cstheme="minorHAnsi"/>
          <w:bCs/>
        </w:rPr>
        <w:t>led</w:t>
      </w:r>
      <w:r w:rsidR="00BE79F6" w:rsidRPr="007E2B4B">
        <w:rPr>
          <w:rFonts w:cstheme="minorHAnsi"/>
          <w:bCs/>
        </w:rPr>
        <w:t xml:space="preserve"> </w:t>
      </w:r>
      <w:r w:rsidR="00CC173D" w:rsidRPr="007E2B4B">
        <w:rPr>
          <w:rFonts w:cstheme="minorHAnsi"/>
          <w:bCs/>
        </w:rPr>
        <w:t>to changes in how we deliver and assess Core courses.  D</w:t>
      </w:r>
      <w:r w:rsidR="004278E6" w:rsidRPr="007E2B4B">
        <w:rPr>
          <w:rFonts w:cstheme="minorHAnsi"/>
          <w:bCs/>
        </w:rPr>
        <w:t>ata from IC</w:t>
      </w:r>
      <w:r w:rsidR="004278E6" w:rsidRPr="007E2B4B">
        <w:rPr>
          <w:rFonts w:cstheme="minorHAnsi"/>
          <w:bCs/>
          <w:vertAlign w:val="superscript"/>
        </w:rPr>
        <w:t xml:space="preserve">2 </w:t>
      </w:r>
      <w:r w:rsidR="004278E6" w:rsidRPr="007E2B4B">
        <w:rPr>
          <w:rFonts w:cstheme="minorHAnsi"/>
          <w:bCs/>
        </w:rPr>
        <w:t>will be instrumental in our assessment of the Core.</w:t>
      </w:r>
    </w:p>
    <w:p w14:paraId="3A4AAFBD" w14:textId="77777777" w:rsidR="00043BA7" w:rsidRPr="007E2B4B" w:rsidRDefault="00043BA7" w:rsidP="004278E6">
      <w:pPr>
        <w:rPr>
          <w:rFonts w:cstheme="minorHAnsi"/>
          <w:bCs/>
        </w:rPr>
      </w:pPr>
    </w:p>
    <w:p w14:paraId="5E44BF33" w14:textId="73C6599C" w:rsidR="002C43A5" w:rsidRPr="007E2B4B" w:rsidRDefault="00043BA7" w:rsidP="00964BBB">
      <w:pPr>
        <w:rPr>
          <w:rFonts w:cstheme="minorHAnsi"/>
          <w:bCs/>
        </w:rPr>
      </w:pPr>
      <w:r w:rsidRPr="007E2B4B">
        <w:rPr>
          <w:rFonts w:cstheme="minorHAnsi"/>
          <w:b/>
          <w:bCs/>
        </w:rPr>
        <w:t xml:space="preserve">The </w:t>
      </w:r>
      <w:r w:rsidR="0099417F" w:rsidRPr="007E2B4B">
        <w:rPr>
          <w:rFonts w:cstheme="minorHAnsi"/>
          <w:b/>
          <w:bCs/>
        </w:rPr>
        <w:t>Academic</w:t>
      </w:r>
      <w:r w:rsidR="00F67532" w:rsidRPr="007E2B4B">
        <w:rPr>
          <w:rFonts w:cstheme="minorHAnsi"/>
          <w:b/>
          <w:bCs/>
        </w:rPr>
        <w:t xml:space="preserve"> and </w:t>
      </w:r>
      <w:r w:rsidR="0099417F" w:rsidRPr="007E2B4B">
        <w:rPr>
          <w:rFonts w:cstheme="minorHAnsi"/>
          <w:b/>
          <w:bCs/>
        </w:rPr>
        <w:t>Co-curricular Support Structures</w:t>
      </w:r>
      <w:r w:rsidR="0099417F" w:rsidRPr="007E2B4B">
        <w:rPr>
          <w:rFonts w:cstheme="minorHAnsi"/>
          <w:bCs/>
        </w:rPr>
        <w:t xml:space="preserve"> theme</w:t>
      </w:r>
      <w:r w:rsidR="00B77EAB" w:rsidRPr="007E2B4B">
        <w:rPr>
          <w:rFonts w:cstheme="minorHAnsi"/>
          <w:bCs/>
        </w:rPr>
        <w:t xml:space="preserve"> reflects Caltech’s deepening commitment to expanding offices,</w:t>
      </w:r>
      <w:r w:rsidR="00AE721E" w:rsidRPr="007E2B4B">
        <w:rPr>
          <w:rFonts w:cstheme="minorHAnsi"/>
          <w:bCs/>
        </w:rPr>
        <w:t xml:space="preserve"> programs, and initiatives whose aim is to help our community members flourish.  A comprehensive </w:t>
      </w:r>
      <w:r w:rsidR="002C43A5" w:rsidRPr="007E2B4B">
        <w:rPr>
          <w:rFonts w:cstheme="minorHAnsi"/>
          <w:bCs/>
        </w:rPr>
        <w:t xml:space="preserve">examination and evaluation </w:t>
      </w:r>
      <w:r w:rsidR="00AE721E" w:rsidRPr="007E2B4B">
        <w:rPr>
          <w:rFonts w:cstheme="minorHAnsi"/>
          <w:bCs/>
        </w:rPr>
        <w:t xml:space="preserve">of these structures, many of which have been established since the </w:t>
      </w:r>
      <w:r w:rsidR="002C43A5" w:rsidRPr="007E2B4B">
        <w:rPr>
          <w:rFonts w:cstheme="minorHAnsi"/>
          <w:bCs/>
        </w:rPr>
        <w:t xml:space="preserve">2010 accreditation, will give us the opportunity to focus on </w:t>
      </w:r>
      <w:r w:rsidR="00AE721E" w:rsidRPr="007E2B4B">
        <w:rPr>
          <w:rFonts w:cstheme="minorHAnsi"/>
          <w:bCs/>
        </w:rPr>
        <w:t>Standard 1, “Defining Institutional Purposes and Ensuring Educational Objectives,” (CFR 1.4), Standard 2, “Achieving Educational Objectives through Core Functions (CFR 2.11, 2.13), and Standard 3, “Developing and Applying Resources and Organizational Structures to Ensure Quality and Sustainability” (CFR 3.1, 3.6, 3.10).</w:t>
      </w:r>
      <w:r w:rsidR="002C43A5" w:rsidRPr="007E2B4B">
        <w:rPr>
          <w:rFonts w:cstheme="minorHAnsi"/>
          <w:bCs/>
        </w:rPr>
        <w:t xml:space="preserve">  </w:t>
      </w:r>
      <w:r w:rsidR="00964BBB" w:rsidRPr="007E2B4B">
        <w:rPr>
          <w:rFonts w:cstheme="minorHAnsi"/>
          <w:bCs/>
        </w:rPr>
        <w:t>T</w:t>
      </w:r>
      <w:r w:rsidR="002C43A5" w:rsidRPr="007E2B4B">
        <w:rPr>
          <w:rFonts w:cstheme="minorHAnsi"/>
          <w:bCs/>
        </w:rPr>
        <w:t xml:space="preserve">he assessment of these support structures will be undertaken by Caltech’s Institutional Research Office, with longitudinal data from the Center for Teaching, Learning, and Outreach, the Caltech </w:t>
      </w:r>
      <w:r w:rsidR="00A65EE5">
        <w:rPr>
          <w:rFonts w:cstheme="minorHAnsi"/>
          <w:bCs/>
        </w:rPr>
        <w:t>Center for Diversity</w:t>
      </w:r>
      <w:r w:rsidR="002C43A5" w:rsidRPr="007E2B4B">
        <w:rPr>
          <w:rFonts w:cstheme="minorHAnsi"/>
          <w:bCs/>
        </w:rPr>
        <w:t xml:space="preserve">, the Hixon Writing Center, </w:t>
      </w:r>
      <w:r w:rsidR="00743764" w:rsidRPr="007E2B4B">
        <w:rPr>
          <w:rFonts w:cstheme="minorHAnsi"/>
          <w:bCs/>
        </w:rPr>
        <w:t>Student-Faculty Programs</w:t>
      </w:r>
      <w:r w:rsidR="002C43A5" w:rsidRPr="007E2B4B">
        <w:rPr>
          <w:rFonts w:cstheme="minorHAnsi"/>
          <w:bCs/>
        </w:rPr>
        <w:t xml:space="preserve">, the Caltech Y, the </w:t>
      </w:r>
      <w:r w:rsidR="009F5091">
        <w:rPr>
          <w:rFonts w:cstheme="minorHAnsi"/>
          <w:bCs/>
        </w:rPr>
        <w:t>Graduate Studies Office</w:t>
      </w:r>
      <w:r w:rsidR="002C43A5" w:rsidRPr="007E2B4B">
        <w:rPr>
          <w:rFonts w:cstheme="minorHAnsi"/>
          <w:bCs/>
        </w:rPr>
        <w:t xml:space="preserve">, and the </w:t>
      </w:r>
      <w:r w:rsidR="009F5091">
        <w:rPr>
          <w:rFonts w:cstheme="minorHAnsi"/>
          <w:bCs/>
        </w:rPr>
        <w:t>Dean of Undergraduate Students Office</w:t>
      </w:r>
      <w:r w:rsidR="002C43A5" w:rsidRPr="007E2B4B">
        <w:rPr>
          <w:rFonts w:cstheme="minorHAnsi"/>
          <w:bCs/>
        </w:rPr>
        <w:t>.</w:t>
      </w:r>
      <w:r w:rsidR="00B02CDA" w:rsidRPr="007E2B4B">
        <w:rPr>
          <w:rFonts w:cstheme="minorHAnsi"/>
          <w:bCs/>
        </w:rPr>
        <w:t xml:space="preserve">  Several of the CFRs </w:t>
      </w:r>
      <w:r w:rsidR="00964BBB" w:rsidRPr="007E2B4B">
        <w:rPr>
          <w:rFonts w:cstheme="minorHAnsi"/>
          <w:bCs/>
        </w:rPr>
        <w:t xml:space="preserve">that appear in the Core Curriculum theme and </w:t>
      </w:r>
      <w:r w:rsidR="00B02CDA" w:rsidRPr="007E2B4B">
        <w:rPr>
          <w:rFonts w:cstheme="minorHAnsi"/>
          <w:bCs/>
        </w:rPr>
        <w:t>comprise Standard Four, “Creating an Organization Committed to Quality Assurance, Institutional Learning, and Improvement,”</w:t>
      </w:r>
      <w:r w:rsidR="00964BBB" w:rsidRPr="007E2B4B">
        <w:rPr>
          <w:rFonts w:cstheme="minorHAnsi"/>
          <w:bCs/>
        </w:rPr>
        <w:t xml:space="preserve"> are also relevant for the Academic/Co-curricular Support Structures theme (4.1, 4.2, 4.3, 4.4., 4.5, 4.6, 4.7).</w:t>
      </w:r>
      <w:r w:rsidR="00B02CDA" w:rsidRPr="007E2B4B">
        <w:rPr>
          <w:rFonts w:cstheme="minorHAnsi"/>
          <w:bCs/>
        </w:rPr>
        <w:t xml:space="preserve"> </w:t>
      </w:r>
    </w:p>
    <w:p w14:paraId="0E67E3B1" w14:textId="77777777" w:rsidR="00964BBB" w:rsidRPr="007E2B4B" w:rsidRDefault="00964BBB" w:rsidP="00964BBB">
      <w:pPr>
        <w:rPr>
          <w:rFonts w:cstheme="minorHAnsi"/>
          <w:bCs/>
        </w:rPr>
      </w:pPr>
    </w:p>
    <w:p w14:paraId="4296C0D0" w14:textId="036FBBA5" w:rsidR="00B164BA" w:rsidRPr="007E2B4B" w:rsidRDefault="00494FF1" w:rsidP="00743764">
      <w:pPr>
        <w:rPr>
          <w:rFonts w:cstheme="minorHAnsi"/>
          <w:bCs/>
        </w:rPr>
      </w:pPr>
      <w:r w:rsidRPr="007E2B4B">
        <w:rPr>
          <w:rFonts w:cstheme="minorHAnsi"/>
          <w:bCs/>
        </w:rPr>
        <w:t xml:space="preserve">The support structures Caltech intends to evaluate are both academic and co-curricular.  The academic structures include: the Center for Teaching, Learning, and Outreach, the Hixon Writing Center, the undergraduate deans’ tutoring program, the graduate dean’s outreach and recruitment office, the Innovation in Education Fund, and the Freshman Summer Research Institute.  The co-curricular structures include: the Caltech </w:t>
      </w:r>
      <w:r w:rsidR="00A65EE5">
        <w:rPr>
          <w:rFonts w:cstheme="minorHAnsi"/>
          <w:bCs/>
        </w:rPr>
        <w:t xml:space="preserve">Center for </w:t>
      </w:r>
      <w:r w:rsidRPr="007E2B4B">
        <w:rPr>
          <w:rFonts w:cstheme="minorHAnsi"/>
          <w:bCs/>
        </w:rPr>
        <w:t xml:space="preserve">Diversity, Student Counseling Services, student funds for special projects, </w:t>
      </w:r>
      <w:r w:rsidR="00013F31" w:rsidRPr="007E2B4B">
        <w:rPr>
          <w:rFonts w:cstheme="minorHAnsi"/>
          <w:bCs/>
        </w:rPr>
        <w:t xml:space="preserve">International Student Programs, </w:t>
      </w:r>
      <w:r w:rsidRPr="007E2B4B">
        <w:rPr>
          <w:rFonts w:cstheme="minorHAnsi"/>
          <w:bCs/>
        </w:rPr>
        <w:t xml:space="preserve">and the Caltech Y.  </w:t>
      </w:r>
      <w:r w:rsidR="002C43A5" w:rsidRPr="007E2B4B">
        <w:rPr>
          <w:rFonts w:cstheme="minorHAnsi"/>
          <w:bCs/>
        </w:rPr>
        <w:t>Since the last accreditation cycle,</w:t>
      </w:r>
      <w:r w:rsidR="00743764" w:rsidRPr="007E2B4B">
        <w:rPr>
          <w:rFonts w:cstheme="minorHAnsi"/>
          <w:bCs/>
        </w:rPr>
        <w:t xml:space="preserve"> Caltech has created </w:t>
      </w:r>
      <w:r w:rsidR="00FF085D" w:rsidRPr="007E2B4B">
        <w:rPr>
          <w:rFonts w:cstheme="minorHAnsi"/>
          <w:bCs/>
        </w:rPr>
        <w:t xml:space="preserve">new </w:t>
      </w:r>
      <w:r w:rsidR="00743764" w:rsidRPr="007E2B4B">
        <w:rPr>
          <w:rFonts w:cstheme="minorHAnsi"/>
          <w:bCs/>
        </w:rPr>
        <w:t xml:space="preserve">support structures </w:t>
      </w:r>
      <w:r w:rsidR="00032FFC" w:rsidRPr="007E2B4B">
        <w:rPr>
          <w:rFonts w:cstheme="minorHAnsi"/>
          <w:bCs/>
        </w:rPr>
        <w:t xml:space="preserve">and </w:t>
      </w:r>
      <w:r w:rsidR="00743764" w:rsidRPr="007E2B4B">
        <w:rPr>
          <w:rFonts w:cstheme="minorHAnsi"/>
          <w:bCs/>
        </w:rPr>
        <w:t xml:space="preserve">improved established ones, </w:t>
      </w:r>
      <w:r w:rsidR="006C0240" w:rsidRPr="007E2B4B">
        <w:rPr>
          <w:rFonts w:cstheme="minorHAnsi"/>
          <w:bCs/>
        </w:rPr>
        <w:t>determining</w:t>
      </w:r>
      <w:r w:rsidR="00743764" w:rsidRPr="007E2B4B">
        <w:rPr>
          <w:rFonts w:cstheme="minorHAnsi"/>
          <w:bCs/>
        </w:rPr>
        <w:t xml:space="preserve"> where resources should be </w:t>
      </w:r>
      <w:r w:rsidR="00032FFC" w:rsidRPr="007E2B4B">
        <w:rPr>
          <w:rFonts w:cstheme="minorHAnsi"/>
          <w:bCs/>
        </w:rPr>
        <w:t xml:space="preserve">allocated </w:t>
      </w:r>
      <w:r w:rsidR="006C0240" w:rsidRPr="007E2B4B">
        <w:rPr>
          <w:rFonts w:cstheme="minorHAnsi"/>
          <w:bCs/>
        </w:rPr>
        <w:t xml:space="preserve">based on </w:t>
      </w:r>
      <w:r w:rsidR="00032FFC" w:rsidRPr="007E2B4B">
        <w:rPr>
          <w:rFonts w:cstheme="minorHAnsi"/>
          <w:bCs/>
        </w:rPr>
        <w:t xml:space="preserve">input </w:t>
      </w:r>
      <w:r w:rsidR="006C0240" w:rsidRPr="007E2B4B">
        <w:rPr>
          <w:rFonts w:cstheme="minorHAnsi"/>
          <w:bCs/>
        </w:rPr>
        <w:t>from students, faculty, and staff</w:t>
      </w:r>
      <w:r w:rsidR="00743764" w:rsidRPr="007E2B4B">
        <w:rPr>
          <w:rFonts w:cstheme="minorHAnsi"/>
          <w:bCs/>
        </w:rPr>
        <w:t xml:space="preserve">.  The upcoming accreditation cycle gives us an opportunity to </w:t>
      </w:r>
      <w:r w:rsidR="00AF2A64" w:rsidRPr="007E2B4B">
        <w:rPr>
          <w:rFonts w:cstheme="minorHAnsi"/>
          <w:bCs/>
        </w:rPr>
        <w:t xml:space="preserve">examine the </w:t>
      </w:r>
      <w:r w:rsidR="00032FFC" w:rsidRPr="007E2B4B">
        <w:rPr>
          <w:rFonts w:cstheme="minorHAnsi"/>
          <w:bCs/>
        </w:rPr>
        <w:t xml:space="preserve">programs </w:t>
      </w:r>
      <w:r w:rsidR="00AF2A64" w:rsidRPr="007E2B4B">
        <w:rPr>
          <w:rFonts w:cstheme="minorHAnsi"/>
          <w:bCs/>
        </w:rPr>
        <w:t xml:space="preserve">we </w:t>
      </w:r>
      <w:r w:rsidR="006C0240" w:rsidRPr="007E2B4B">
        <w:rPr>
          <w:rFonts w:cstheme="minorHAnsi"/>
          <w:bCs/>
        </w:rPr>
        <w:t xml:space="preserve">have </w:t>
      </w:r>
      <w:r w:rsidR="00032FFC" w:rsidRPr="007E2B4B">
        <w:rPr>
          <w:rFonts w:cstheme="minorHAnsi"/>
          <w:bCs/>
        </w:rPr>
        <w:t xml:space="preserve">developed </w:t>
      </w:r>
      <w:r w:rsidR="00AF2A64" w:rsidRPr="007E2B4B">
        <w:rPr>
          <w:rFonts w:cstheme="minorHAnsi"/>
          <w:bCs/>
        </w:rPr>
        <w:t xml:space="preserve">and determine </w:t>
      </w:r>
      <w:r w:rsidR="00032FFC" w:rsidRPr="007E2B4B">
        <w:rPr>
          <w:rFonts w:cstheme="minorHAnsi"/>
          <w:bCs/>
        </w:rPr>
        <w:t>where refinement or further change may be</w:t>
      </w:r>
      <w:r w:rsidR="00AF2A64" w:rsidRPr="007E2B4B">
        <w:rPr>
          <w:rFonts w:cstheme="minorHAnsi"/>
          <w:bCs/>
        </w:rPr>
        <w:t xml:space="preserve"> necessary.  How are these </w:t>
      </w:r>
      <w:r w:rsidR="00032FFC" w:rsidRPr="007E2B4B">
        <w:rPr>
          <w:rFonts w:cstheme="minorHAnsi"/>
          <w:bCs/>
        </w:rPr>
        <w:t xml:space="preserve">support structures </w:t>
      </w:r>
      <w:r w:rsidR="00AF2A64" w:rsidRPr="007E2B4B">
        <w:rPr>
          <w:rFonts w:cstheme="minorHAnsi"/>
          <w:bCs/>
        </w:rPr>
        <w:t xml:space="preserve">being utilized?  Who </w:t>
      </w:r>
      <w:r w:rsidR="00032FFC" w:rsidRPr="007E2B4B">
        <w:rPr>
          <w:rFonts w:cstheme="minorHAnsi"/>
          <w:bCs/>
        </w:rPr>
        <w:t xml:space="preserve">accesses </w:t>
      </w:r>
      <w:r w:rsidR="00AF2A64" w:rsidRPr="007E2B4B">
        <w:rPr>
          <w:rFonts w:cstheme="minorHAnsi"/>
          <w:bCs/>
        </w:rPr>
        <w:t>them</w:t>
      </w:r>
      <w:r w:rsidR="006C0240" w:rsidRPr="007E2B4B">
        <w:rPr>
          <w:rFonts w:cstheme="minorHAnsi"/>
          <w:bCs/>
        </w:rPr>
        <w:t xml:space="preserve"> and how frequently</w:t>
      </w:r>
      <w:r w:rsidR="00AF2A64" w:rsidRPr="007E2B4B">
        <w:rPr>
          <w:rFonts w:cstheme="minorHAnsi"/>
          <w:bCs/>
        </w:rPr>
        <w:t xml:space="preserve">? </w:t>
      </w:r>
      <w:r w:rsidR="006C0240" w:rsidRPr="007E2B4B">
        <w:rPr>
          <w:rFonts w:cstheme="minorHAnsi"/>
          <w:bCs/>
        </w:rPr>
        <w:t xml:space="preserve"> </w:t>
      </w:r>
      <w:r w:rsidR="00AF2A64" w:rsidRPr="007E2B4B">
        <w:rPr>
          <w:rFonts w:cstheme="minorHAnsi"/>
          <w:bCs/>
        </w:rPr>
        <w:t>Are they making a positive difference</w:t>
      </w:r>
      <w:r w:rsidR="00032FFC" w:rsidRPr="007E2B4B">
        <w:rPr>
          <w:rFonts w:cstheme="minorHAnsi"/>
          <w:bCs/>
        </w:rPr>
        <w:t>, particularly as they are meant to support student success in our core academic and research programs</w:t>
      </w:r>
      <w:r w:rsidR="00AF2A64" w:rsidRPr="007E2B4B">
        <w:rPr>
          <w:rFonts w:cstheme="minorHAnsi"/>
          <w:bCs/>
        </w:rPr>
        <w:t xml:space="preserve">?  Do these support structures have </w:t>
      </w:r>
      <w:r w:rsidR="00032FFC" w:rsidRPr="007E2B4B">
        <w:rPr>
          <w:rFonts w:cstheme="minorHAnsi"/>
          <w:bCs/>
        </w:rPr>
        <w:t xml:space="preserve">common </w:t>
      </w:r>
      <w:r w:rsidR="00AF2A64" w:rsidRPr="007E2B4B">
        <w:rPr>
          <w:rFonts w:cstheme="minorHAnsi"/>
          <w:bCs/>
        </w:rPr>
        <w:t>objectives</w:t>
      </w:r>
      <w:r w:rsidR="00032FFC" w:rsidRPr="007E2B4B">
        <w:rPr>
          <w:rFonts w:cstheme="minorHAnsi"/>
          <w:bCs/>
        </w:rPr>
        <w:t>, and if so, are they coordinating their activities and sharing information</w:t>
      </w:r>
      <w:r w:rsidR="00AF2A64" w:rsidRPr="007E2B4B">
        <w:rPr>
          <w:rFonts w:cstheme="minorHAnsi"/>
          <w:bCs/>
        </w:rPr>
        <w:t xml:space="preserve">?  Are they appropriately resourced?  </w:t>
      </w:r>
      <w:r w:rsidR="006C0240" w:rsidRPr="007E2B4B">
        <w:rPr>
          <w:rFonts w:cstheme="minorHAnsi"/>
          <w:bCs/>
        </w:rPr>
        <w:t xml:space="preserve">How might they be improved?  </w:t>
      </w:r>
      <w:r w:rsidR="00032FFC" w:rsidRPr="007E2B4B">
        <w:rPr>
          <w:rFonts w:cstheme="minorHAnsi"/>
          <w:bCs/>
        </w:rPr>
        <w:t xml:space="preserve">Are the professional staff who typically lead them effectively connected with teaching faculty?  </w:t>
      </w:r>
    </w:p>
    <w:p w14:paraId="2C6FB84A" w14:textId="77777777" w:rsidR="00B164BA" w:rsidRPr="007E2B4B" w:rsidRDefault="00B164BA" w:rsidP="00743764">
      <w:pPr>
        <w:rPr>
          <w:rFonts w:cstheme="minorHAnsi"/>
          <w:bCs/>
        </w:rPr>
      </w:pPr>
    </w:p>
    <w:p w14:paraId="6AE79CBB" w14:textId="34AE1E57" w:rsidR="006C0240" w:rsidRPr="007E2B4B" w:rsidRDefault="00B164BA">
      <w:pPr>
        <w:rPr>
          <w:rFonts w:cstheme="minorHAnsi"/>
          <w:bCs/>
        </w:rPr>
      </w:pPr>
      <w:r w:rsidRPr="007E2B4B">
        <w:rPr>
          <w:rFonts w:cstheme="minorHAnsi"/>
          <w:bCs/>
        </w:rPr>
        <w:t xml:space="preserve">Like the Core Curriculum, assessment of these support structures </w:t>
      </w:r>
      <w:r w:rsidR="00494FF1" w:rsidRPr="007E2B4B">
        <w:rPr>
          <w:rFonts w:cstheme="minorHAnsi"/>
          <w:bCs/>
        </w:rPr>
        <w:t xml:space="preserve">has been </w:t>
      </w:r>
      <w:r w:rsidRPr="007E2B4B">
        <w:rPr>
          <w:rFonts w:cstheme="minorHAnsi"/>
          <w:bCs/>
        </w:rPr>
        <w:t xml:space="preserve">an ongoing process, with each office or program evaluating the degree to which its outcomes are achieved.  However, a </w:t>
      </w:r>
      <w:r w:rsidR="00494FF1" w:rsidRPr="007E2B4B">
        <w:rPr>
          <w:rFonts w:cstheme="minorHAnsi"/>
          <w:bCs/>
        </w:rPr>
        <w:t xml:space="preserve">coordinated </w:t>
      </w:r>
      <w:r w:rsidRPr="007E2B4B">
        <w:rPr>
          <w:rFonts w:cstheme="minorHAnsi"/>
          <w:bCs/>
        </w:rPr>
        <w:t xml:space="preserve">assessment of these structures has not been attempted, </w:t>
      </w:r>
      <w:r w:rsidR="0005135F" w:rsidRPr="007E2B4B">
        <w:rPr>
          <w:rFonts w:cstheme="minorHAnsi"/>
          <w:bCs/>
        </w:rPr>
        <w:t xml:space="preserve">in part because they may be housed in different parts of the Institute, and </w:t>
      </w:r>
      <w:r w:rsidRPr="007E2B4B">
        <w:rPr>
          <w:rFonts w:cstheme="minorHAnsi"/>
          <w:bCs/>
        </w:rPr>
        <w:t>in part because the newer offices have only recently aggregated enough data to make such an evaluation possible</w:t>
      </w:r>
      <w:r w:rsidR="0005135F" w:rsidRPr="007E2B4B">
        <w:rPr>
          <w:rFonts w:cstheme="minorHAnsi"/>
          <w:bCs/>
        </w:rPr>
        <w:t>.  These</w:t>
      </w:r>
      <w:r w:rsidRPr="007E2B4B">
        <w:rPr>
          <w:rFonts w:cstheme="minorHAnsi"/>
          <w:bCs/>
        </w:rPr>
        <w:t xml:space="preserve"> support structures are</w:t>
      </w:r>
      <w:r w:rsidR="0005135F" w:rsidRPr="007E2B4B">
        <w:rPr>
          <w:rFonts w:cstheme="minorHAnsi"/>
          <w:bCs/>
        </w:rPr>
        <w:t xml:space="preserve"> now</w:t>
      </w:r>
      <w:r w:rsidRPr="007E2B4B">
        <w:rPr>
          <w:rFonts w:cstheme="minorHAnsi"/>
          <w:bCs/>
        </w:rPr>
        <w:t xml:space="preserve"> ready to take the next step and devise methods of strengthening their coordination and </w:t>
      </w:r>
      <w:r w:rsidR="00773BA2" w:rsidRPr="007E2B4B">
        <w:rPr>
          <w:rFonts w:cstheme="minorHAnsi"/>
          <w:bCs/>
        </w:rPr>
        <w:t xml:space="preserve">effectiveness.  Many of Caltech’s program directors have a PhD or an EdD, and because they all have expertise in pedagogy, there is a rich archive of data from each of the offices we intend to assess.  This theme will help us bring the data together and determine how well we are responding to the academic and co-curricular needs of our community.    </w:t>
      </w:r>
      <w:r w:rsidR="00BC27E3">
        <w:rPr>
          <w:rFonts w:cstheme="minorHAnsi"/>
          <w:bCs/>
        </w:rPr>
        <w:t>The following table summarizes the</w:t>
      </w:r>
      <w:r w:rsidR="000546E8">
        <w:rPr>
          <w:rFonts w:cstheme="minorHAnsi"/>
          <w:bCs/>
        </w:rPr>
        <w:t xml:space="preserve"> intersection of our proposed themes with WASC standards and criteria.</w:t>
      </w:r>
    </w:p>
    <w:p w14:paraId="071C89BC" w14:textId="77777777" w:rsidR="007B1235" w:rsidRPr="007E2B4B" w:rsidRDefault="006C0240" w:rsidP="00743764">
      <w:pPr>
        <w:rPr>
          <w:rFonts w:cstheme="minorHAnsi"/>
          <w:bCs/>
        </w:rPr>
      </w:pPr>
      <w:r w:rsidRPr="007E2B4B">
        <w:rPr>
          <w:rFonts w:cstheme="minorHAnsi"/>
          <w:bCs/>
        </w:rPr>
        <w:t xml:space="preserve"> </w:t>
      </w:r>
    </w:p>
    <w:tbl>
      <w:tblPr>
        <w:tblStyle w:val="TableGrid"/>
        <w:tblW w:w="9360" w:type="dxa"/>
        <w:jc w:val="center"/>
        <w:shd w:val="clear" w:color="auto" w:fill="FFFFFF" w:themeFill="background1"/>
        <w:tblLook w:val="01A0" w:firstRow="1" w:lastRow="0" w:firstColumn="1" w:lastColumn="1" w:noHBand="0" w:noVBand="0"/>
      </w:tblPr>
      <w:tblGrid>
        <w:gridCol w:w="2160"/>
        <w:gridCol w:w="1800"/>
        <w:gridCol w:w="1800"/>
        <w:gridCol w:w="1800"/>
        <w:gridCol w:w="1800"/>
      </w:tblGrid>
      <w:tr w:rsidR="007B1235" w:rsidRPr="00307DA9" w14:paraId="5B47BC2C" w14:textId="77777777" w:rsidTr="0026416F">
        <w:trPr>
          <w:trHeight w:val="620"/>
          <w:jc w:val="center"/>
        </w:trPr>
        <w:tc>
          <w:tcPr>
            <w:tcW w:w="2160" w:type="dxa"/>
            <w:tcBorders>
              <w:tl2br w:val="single" w:sz="4" w:space="0" w:color="auto"/>
            </w:tcBorders>
            <w:shd w:val="clear" w:color="auto" w:fill="FFFFFF" w:themeFill="background1"/>
            <w:vAlign w:val="center"/>
          </w:tcPr>
          <w:p w14:paraId="6CDCB6D4" w14:textId="77777777" w:rsidR="007B1235" w:rsidRPr="00BC27E3" w:rsidRDefault="007B1235" w:rsidP="0026416F">
            <w:pPr>
              <w:jc w:val="center"/>
              <w:rPr>
                <w:rFonts w:cstheme="minorHAnsi"/>
                <w:bCs/>
              </w:rPr>
            </w:pPr>
            <w:r w:rsidRPr="00307DA9">
              <w:rPr>
                <w:rFonts w:cstheme="minorHAnsi"/>
                <w:bCs/>
              </w:rPr>
              <w:t xml:space="preserve">                 </w:t>
            </w:r>
            <w:r w:rsidRPr="00BC27E3">
              <w:rPr>
                <w:rFonts w:cstheme="minorHAnsi"/>
                <w:bCs/>
              </w:rPr>
              <w:t>Standards</w:t>
            </w:r>
          </w:p>
          <w:p w14:paraId="6A5ED26F" w14:textId="77777777" w:rsidR="007B1235" w:rsidRPr="00307DA9" w:rsidRDefault="007B1235" w:rsidP="0026416F">
            <w:pPr>
              <w:rPr>
                <w:rFonts w:cstheme="minorHAnsi"/>
                <w:bCs/>
              </w:rPr>
            </w:pPr>
            <w:r w:rsidRPr="00307DA9">
              <w:rPr>
                <w:rFonts w:cstheme="minorHAnsi"/>
                <w:bCs/>
              </w:rPr>
              <w:t xml:space="preserve">     Themes</w:t>
            </w:r>
          </w:p>
        </w:tc>
        <w:tc>
          <w:tcPr>
            <w:tcW w:w="1800" w:type="dxa"/>
            <w:shd w:val="clear" w:color="auto" w:fill="FFFFFF" w:themeFill="background1"/>
            <w:vAlign w:val="center"/>
          </w:tcPr>
          <w:p w14:paraId="52BBCA0F" w14:textId="77777777" w:rsidR="007B1235" w:rsidRPr="00307DA9" w:rsidRDefault="007B1235" w:rsidP="0026416F">
            <w:pPr>
              <w:jc w:val="center"/>
              <w:rPr>
                <w:rFonts w:cstheme="minorHAnsi"/>
                <w:bCs/>
              </w:rPr>
            </w:pPr>
            <w:r w:rsidRPr="00307DA9">
              <w:rPr>
                <w:rFonts w:cstheme="minorHAnsi"/>
                <w:bCs/>
              </w:rPr>
              <w:t>One</w:t>
            </w:r>
          </w:p>
        </w:tc>
        <w:tc>
          <w:tcPr>
            <w:tcW w:w="1800" w:type="dxa"/>
            <w:shd w:val="clear" w:color="auto" w:fill="FFFFFF" w:themeFill="background1"/>
            <w:vAlign w:val="center"/>
          </w:tcPr>
          <w:p w14:paraId="09438435" w14:textId="77777777" w:rsidR="007B1235" w:rsidRPr="00307DA9" w:rsidRDefault="007B1235" w:rsidP="0026416F">
            <w:pPr>
              <w:jc w:val="center"/>
              <w:rPr>
                <w:rFonts w:cstheme="minorHAnsi"/>
                <w:bCs/>
              </w:rPr>
            </w:pPr>
            <w:r w:rsidRPr="00307DA9">
              <w:rPr>
                <w:rFonts w:cstheme="minorHAnsi"/>
                <w:bCs/>
              </w:rPr>
              <w:t>Two</w:t>
            </w:r>
          </w:p>
        </w:tc>
        <w:tc>
          <w:tcPr>
            <w:tcW w:w="1800" w:type="dxa"/>
            <w:shd w:val="clear" w:color="auto" w:fill="FFFFFF" w:themeFill="background1"/>
            <w:vAlign w:val="center"/>
          </w:tcPr>
          <w:p w14:paraId="7E33A829" w14:textId="77777777" w:rsidR="007B1235" w:rsidRPr="00307DA9" w:rsidRDefault="007B1235" w:rsidP="0026416F">
            <w:pPr>
              <w:jc w:val="center"/>
              <w:rPr>
                <w:rFonts w:cstheme="minorHAnsi"/>
                <w:bCs/>
              </w:rPr>
            </w:pPr>
            <w:r w:rsidRPr="00307DA9">
              <w:rPr>
                <w:rFonts w:cstheme="minorHAnsi"/>
                <w:bCs/>
              </w:rPr>
              <w:t>Three</w:t>
            </w:r>
          </w:p>
        </w:tc>
        <w:tc>
          <w:tcPr>
            <w:tcW w:w="1800" w:type="dxa"/>
            <w:shd w:val="clear" w:color="auto" w:fill="FFFFFF" w:themeFill="background1"/>
            <w:vAlign w:val="center"/>
          </w:tcPr>
          <w:p w14:paraId="1EC734F7" w14:textId="77777777" w:rsidR="007B1235" w:rsidRPr="00307DA9" w:rsidRDefault="007B1235" w:rsidP="0026416F">
            <w:pPr>
              <w:jc w:val="center"/>
              <w:rPr>
                <w:rFonts w:cstheme="minorHAnsi"/>
                <w:bCs/>
              </w:rPr>
            </w:pPr>
            <w:r w:rsidRPr="00307DA9">
              <w:rPr>
                <w:rFonts w:cstheme="minorHAnsi"/>
                <w:bCs/>
              </w:rPr>
              <w:t>Four</w:t>
            </w:r>
          </w:p>
        </w:tc>
      </w:tr>
      <w:tr w:rsidR="007B1235" w:rsidRPr="00307DA9" w14:paraId="2E1F8462" w14:textId="77777777" w:rsidTr="0026416F">
        <w:trPr>
          <w:trHeight w:val="422"/>
          <w:jc w:val="center"/>
        </w:trPr>
        <w:tc>
          <w:tcPr>
            <w:tcW w:w="2160" w:type="dxa"/>
            <w:shd w:val="clear" w:color="auto" w:fill="FFFFFF" w:themeFill="background1"/>
            <w:vAlign w:val="center"/>
          </w:tcPr>
          <w:p w14:paraId="6A0AD905" w14:textId="77777777" w:rsidR="007B1235" w:rsidRPr="00307DA9" w:rsidRDefault="007B1235" w:rsidP="0026416F">
            <w:pPr>
              <w:jc w:val="center"/>
              <w:rPr>
                <w:rFonts w:cstheme="minorHAnsi"/>
                <w:bCs/>
              </w:rPr>
            </w:pPr>
            <w:r w:rsidRPr="00307DA9">
              <w:rPr>
                <w:rFonts w:cstheme="minorHAnsi"/>
                <w:bCs/>
              </w:rPr>
              <w:t>Core</w:t>
            </w:r>
          </w:p>
        </w:tc>
        <w:tc>
          <w:tcPr>
            <w:tcW w:w="1800" w:type="dxa"/>
            <w:shd w:val="clear" w:color="auto" w:fill="FFFFFF" w:themeFill="background1"/>
            <w:vAlign w:val="center"/>
          </w:tcPr>
          <w:p w14:paraId="3D348A61" w14:textId="77777777" w:rsidR="007B1235" w:rsidRPr="00307DA9" w:rsidRDefault="007B1235" w:rsidP="0026416F">
            <w:pPr>
              <w:jc w:val="center"/>
              <w:rPr>
                <w:rFonts w:cstheme="minorHAnsi"/>
                <w:bCs/>
              </w:rPr>
            </w:pPr>
            <w:r w:rsidRPr="00307DA9">
              <w:rPr>
                <w:rFonts w:cstheme="minorHAnsi"/>
                <w:bCs/>
              </w:rPr>
              <w:t>CFR 1.2</w:t>
            </w:r>
          </w:p>
        </w:tc>
        <w:tc>
          <w:tcPr>
            <w:tcW w:w="1800" w:type="dxa"/>
            <w:shd w:val="clear" w:color="auto" w:fill="FFFFFF" w:themeFill="background1"/>
            <w:vAlign w:val="center"/>
          </w:tcPr>
          <w:p w14:paraId="23AD84DB" w14:textId="77777777" w:rsidR="007B1235" w:rsidRPr="00307DA9" w:rsidRDefault="007B1235" w:rsidP="0026416F">
            <w:pPr>
              <w:jc w:val="center"/>
              <w:rPr>
                <w:rFonts w:cstheme="minorHAnsi"/>
                <w:bCs/>
              </w:rPr>
            </w:pPr>
            <w:r w:rsidRPr="00307DA9">
              <w:rPr>
                <w:rFonts w:cstheme="minorHAnsi"/>
                <w:bCs/>
              </w:rPr>
              <w:t>CFR 2.3-2.7,</w:t>
            </w:r>
            <w:r w:rsidRPr="00307DA9">
              <w:rPr>
                <w:rFonts w:cstheme="minorHAnsi"/>
                <w:bCs/>
              </w:rPr>
              <w:br/>
              <w:t>2.10, 2.12</w:t>
            </w:r>
          </w:p>
        </w:tc>
        <w:tc>
          <w:tcPr>
            <w:tcW w:w="1800" w:type="dxa"/>
            <w:shd w:val="clear" w:color="auto" w:fill="FFFFFF" w:themeFill="background1"/>
            <w:vAlign w:val="center"/>
          </w:tcPr>
          <w:p w14:paraId="52CE8253" w14:textId="77777777" w:rsidR="007B1235" w:rsidRPr="00307DA9" w:rsidRDefault="007B1235" w:rsidP="0026416F">
            <w:pPr>
              <w:jc w:val="center"/>
              <w:rPr>
                <w:rFonts w:cstheme="minorHAnsi"/>
                <w:bCs/>
              </w:rPr>
            </w:pPr>
          </w:p>
        </w:tc>
        <w:tc>
          <w:tcPr>
            <w:tcW w:w="1800" w:type="dxa"/>
            <w:shd w:val="clear" w:color="auto" w:fill="FFFFFF" w:themeFill="background1"/>
            <w:vAlign w:val="center"/>
          </w:tcPr>
          <w:p w14:paraId="576A8FE7" w14:textId="77777777" w:rsidR="007B1235" w:rsidRPr="00307DA9" w:rsidRDefault="007B1235" w:rsidP="0026416F">
            <w:pPr>
              <w:jc w:val="center"/>
              <w:rPr>
                <w:rFonts w:cstheme="minorHAnsi"/>
                <w:bCs/>
              </w:rPr>
            </w:pPr>
            <w:r w:rsidRPr="00307DA9">
              <w:rPr>
                <w:rFonts w:cstheme="minorHAnsi"/>
                <w:bCs/>
              </w:rPr>
              <w:t>CFR 4.1-4.7</w:t>
            </w:r>
          </w:p>
        </w:tc>
      </w:tr>
      <w:tr w:rsidR="007B1235" w:rsidRPr="00307DA9" w14:paraId="31DC963B" w14:textId="77777777" w:rsidTr="0026416F">
        <w:trPr>
          <w:trHeight w:val="368"/>
          <w:jc w:val="center"/>
        </w:trPr>
        <w:tc>
          <w:tcPr>
            <w:tcW w:w="2160" w:type="dxa"/>
            <w:shd w:val="clear" w:color="auto" w:fill="FFFFFF" w:themeFill="background1"/>
            <w:vAlign w:val="center"/>
          </w:tcPr>
          <w:p w14:paraId="0A2679EC" w14:textId="77777777" w:rsidR="007B1235" w:rsidRPr="00307DA9" w:rsidRDefault="007B1235" w:rsidP="0026416F">
            <w:pPr>
              <w:jc w:val="center"/>
              <w:rPr>
                <w:rFonts w:cstheme="minorHAnsi"/>
                <w:bCs/>
              </w:rPr>
            </w:pPr>
            <w:r w:rsidRPr="00307DA9">
              <w:rPr>
                <w:rFonts w:cstheme="minorHAnsi"/>
                <w:bCs/>
              </w:rPr>
              <w:t>Support</w:t>
            </w:r>
          </w:p>
        </w:tc>
        <w:tc>
          <w:tcPr>
            <w:tcW w:w="1800" w:type="dxa"/>
            <w:shd w:val="clear" w:color="auto" w:fill="FFFFFF" w:themeFill="background1"/>
            <w:vAlign w:val="center"/>
          </w:tcPr>
          <w:p w14:paraId="01200FCE" w14:textId="77777777" w:rsidR="007B1235" w:rsidRPr="00307DA9" w:rsidRDefault="007B1235" w:rsidP="0026416F">
            <w:pPr>
              <w:jc w:val="center"/>
              <w:rPr>
                <w:rFonts w:cstheme="minorHAnsi"/>
                <w:bCs/>
              </w:rPr>
            </w:pPr>
            <w:r w:rsidRPr="00307DA9">
              <w:rPr>
                <w:rFonts w:cstheme="minorHAnsi"/>
                <w:bCs/>
              </w:rPr>
              <w:t>CFR 1.4</w:t>
            </w:r>
          </w:p>
        </w:tc>
        <w:tc>
          <w:tcPr>
            <w:tcW w:w="1800" w:type="dxa"/>
            <w:shd w:val="clear" w:color="auto" w:fill="FFFFFF" w:themeFill="background1"/>
            <w:vAlign w:val="center"/>
          </w:tcPr>
          <w:p w14:paraId="460B06BC" w14:textId="77777777" w:rsidR="007B1235" w:rsidRPr="00307DA9" w:rsidRDefault="007B1235" w:rsidP="0026416F">
            <w:pPr>
              <w:jc w:val="center"/>
              <w:rPr>
                <w:rFonts w:cstheme="minorHAnsi"/>
                <w:bCs/>
              </w:rPr>
            </w:pPr>
            <w:r w:rsidRPr="00307DA9">
              <w:rPr>
                <w:rFonts w:cstheme="minorHAnsi"/>
                <w:bCs/>
              </w:rPr>
              <w:t>CFR 2.11, 2.13</w:t>
            </w:r>
          </w:p>
        </w:tc>
        <w:tc>
          <w:tcPr>
            <w:tcW w:w="1800" w:type="dxa"/>
            <w:shd w:val="clear" w:color="auto" w:fill="FFFFFF" w:themeFill="background1"/>
            <w:vAlign w:val="center"/>
          </w:tcPr>
          <w:p w14:paraId="300E3D48" w14:textId="77777777" w:rsidR="007B1235" w:rsidRPr="00307DA9" w:rsidRDefault="007B1235" w:rsidP="0026416F">
            <w:pPr>
              <w:jc w:val="center"/>
              <w:rPr>
                <w:rFonts w:cstheme="minorHAnsi"/>
                <w:bCs/>
              </w:rPr>
            </w:pPr>
            <w:r w:rsidRPr="00307DA9">
              <w:rPr>
                <w:rFonts w:cstheme="minorHAnsi"/>
                <w:bCs/>
              </w:rPr>
              <w:t>CFR 3.1, 3.6, 3.10</w:t>
            </w:r>
          </w:p>
        </w:tc>
        <w:tc>
          <w:tcPr>
            <w:tcW w:w="1800" w:type="dxa"/>
            <w:shd w:val="clear" w:color="auto" w:fill="FFFFFF" w:themeFill="background1"/>
            <w:vAlign w:val="center"/>
          </w:tcPr>
          <w:p w14:paraId="2D51B013" w14:textId="77777777" w:rsidR="007B1235" w:rsidRPr="00307DA9" w:rsidRDefault="007B1235" w:rsidP="0026416F">
            <w:pPr>
              <w:jc w:val="center"/>
              <w:rPr>
                <w:rFonts w:cstheme="minorHAnsi"/>
                <w:bCs/>
              </w:rPr>
            </w:pPr>
            <w:r w:rsidRPr="00307DA9">
              <w:rPr>
                <w:rFonts w:cstheme="minorHAnsi"/>
                <w:bCs/>
              </w:rPr>
              <w:t>CFR 4.1-4.7</w:t>
            </w:r>
          </w:p>
        </w:tc>
      </w:tr>
    </w:tbl>
    <w:p w14:paraId="5274A446" w14:textId="0C968FEF" w:rsidR="00043BA7" w:rsidRPr="007E2B4B" w:rsidRDefault="00043BA7" w:rsidP="00743764">
      <w:pPr>
        <w:rPr>
          <w:rFonts w:cstheme="minorHAnsi"/>
          <w:bCs/>
        </w:rPr>
      </w:pPr>
    </w:p>
    <w:p w14:paraId="21387B53" w14:textId="77777777" w:rsidR="005147D1" w:rsidRPr="007E2B4B" w:rsidRDefault="005147D1" w:rsidP="006C7448">
      <w:pPr>
        <w:rPr>
          <w:rFonts w:cstheme="minorHAnsi"/>
          <w:b/>
        </w:rPr>
      </w:pPr>
    </w:p>
    <w:p w14:paraId="185BE875" w14:textId="77777777" w:rsidR="006C7448" w:rsidRPr="007E2B4B" w:rsidRDefault="006C7448" w:rsidP="006C7448">
      <w:pPr>
        <w:rPr>
          <w:rFonts w:cstheme="minorHAnsi"/>
          <w:b/>
        </w:rPr>
      </w:pPr>
      <w:r w:rsidRPr="007E2B4B">
        <w:rPr>
          <w:rFonts w:cstheme="minorHAnsi"/>
          <w:b/>
        </w:rPr>
        <w:t>Timeline for each theme</w:t>
      </w:r>
    </w:p>
    <w:p w14:paraId="18F186E8" w14:textId="77777777" w:rsidR="009D478F" w:rsidRPr="007E2B4B" w:rsidRDefault="009D478F" w:rsidP="006C7448">
      <w:pPr>
        <w:rPr>
          <w:rFonts w:cstheme="minorHAnsi"/>
          <w:b/>
        </w:rPr>
      </w:pPr>
    </w:p>
    <w:p w14:paraId="04D120D1" w14:textId="3D0DAB20" w:rsidR="00DD71F0" w:rsidRPr="007E2B4B" w:rsidRDefault="00A55DAC" w:rsidP="00A55DAC">
      <w:pPr>
        <w:rPr>
          <w:rFonts w:cstheme="minorHAnsi"/>
          <w:bCs/>
        </w:rPr>
      </w:pPr>
      <w:r w:rsidRPr="007E2B4B">
        <w:rPr>
          <w:rFonts w:cstheme="minorHAnsi"/>
          <w:bCs/>
        </w:rPr>
        <w:t xml:space="preserve">Because the Core Curriculum is a key component of a Caltech education, it has been a WASC theme </w:t>
      </w:r>
      <w:r w:rsidR="00CC4A16" w:rsidRPr="007E2B4B">
        <w:rPr>
          <w:rFonts w:cstheme="minorHAnsi"/>
          <w:bCs/>
        </w:rPr>
        <w:t xml:space="preserve">in the last two </w:t>
      </w:r>
      <w:r w:rsidRPr="007E2B4B">
        <w:rPr>
          <w:rFonts w:cstheme="minorHAnsi"/>
          <w:bCs/>
        </w:rPr>
        <w:t>accreditation cycles.  Students and faculty discuss the Core every year in the Academic</w:t>
      </w:r>
      <w:r w:rsidR="00F81A95">
        <w:rPr>
          <w:rFonts w:cstheme="minorHAnsi"/>
          <w:bCs/>
        </w:rPr>
        <w:t>s and</w:t>
      </w:r>
      <w:r w:rsidRPr="007E2B4B">
        <w:rPr>
          <w:rFonts w:cstheme="minorHAnsi"/>
          <w:bCs/>
        </w:rPr>
        <w:t xml:space="preserve"> Research </w:t>
      </w:r>
      <w:r w:rsidR="00F81A95">
        <w:rPr>
          <w:rFonts w:cstheme="minorHAnsi"/>
          <w:bCs/>
        </w:rPr>
        <w:t>Committee</w:t>
      </w:r>
      <w:r w:rsidRPr="007E2B4B">
        <w:rPr>
          <w:rFonts w:cstheme="minorHAnsi"/>
          <w:bCs/>
        </w:rPr>
        <w:t xml:space="preserve">, the Core Curriculum Steering </w:t>
      </w:r>
      <w:proofErr w:type="gramStart"/>
      <w:r w:rsidRPr="007E2B4B">
        <w:rPr>
          <w:rFonts w:cstheme="minorHAnsi"/>
          <w:bCs/>
        </w:rPr>
        <w:t>Committee ,</w:t>
      </w:r>
      <w:proofErr w:type="gramEnd"/>
      <w:r w:rsidRPr="007E2B4B">
        <w:rPr>
          <w:rFonts w:cstheme="minorHAnsi"/>
          <w:bCs/>
        </w:rPr>
        <w:t xml:space="preserve"> and </w:t>
      </w:r>
      <w:r w:rsidR="00572292" w:rsidRPr="007E2B4B">
        <w:rPr>
          <w:rFonts w:cstheme="minorHAnsi"/>
          <w:bCs/>
        </w:rPr>
        <w:t xml:space="preserve">the </w:t>
      </w:r>
      <w:r w:rsidRPr="007E2B4B">
        <w:rPr>
          <w:rFonts w:cstheme="minorHAnsi"/>
          <w:bCs/>
        </w:rPr>
        <w:t xml:space="preserve">Council </w:t>
      </w:r>
      <w:r w:rsidR="00F81A95">
        <w:rPr>
          <w:rFonts w:cstheme="minorHAnsi"/>
          <w:bCs/>
        </w:rPr>
        <w:t>on</w:t>
      </w:r>
      <w:r w:rsidRPr="007E2B4B">
        <w:rPr>
          <w:rFonts w:cstheme="minorHAnsi"/>
          <w:bCs/>
        </w:rPr>
        <w:t xml:space="preserve"> Undergraduate Education.  Every other year, the </w:t>
      </w:r>
      <w:r w:rsidR="0005135F" w:rsidRPr="007E2B4B">
        <w:rPr>
          <w:rFonts w:cstheme="minorHAnsi"/>
          <w:bCs/>
        </w:rPr>
        <w:t xml:space="preserve">Core is a topic in the </w:t>
      </w:r>
      <w:r w:rsidRPr="007E2B4B">
        <w:rPr>
          <w:rFonts w:cstheme="minorHAnsi"/>
          <w:bCs/>
        </w:rPr>
        <w:t>undergraduate organize</w:t>
      </w:r>
      <w:r w:rsidR="0005135F" w:rsidRPr="007E2B4B">
        <w:rPr>
          <w:rFonts w:cstheme="minorHAnsi"/>
          <w:bCs/>
        </w:rPr>
        <w:t>d</w:t>
      </w:r>
      <w:r w:rsidRPr="007E2B4B">
        <w:rPr>
          <w:rFonts w:cstheme="minorHAnsi"/>
          <w:bCs/>
        </w:rPr>
        <w:t xml:space="preserve"> Student-Faculty Conference.  Having revised the Core during the last accreditation process, Caltech welcomes the opportunity to assess the effectiveness of recent changes </w:t>
      </w:r>
      <w:r w:rsidR="00DD71F0" w:rsidRPr="007E2B4B">
        <w:rPr>
          <w:rFonts w:cstheme="minorHAnsi"/>
          <w:bCs/>
        </w:rPr>
        <w:t xml:space="preserve">to the Core </w:t>
      </w:r>
      <w:r w:rsidRPr="007E2B4B">
        <w:rPr>
          <w:rFonts w:cstheme="minorHAnsi"/>
          <w:bCs/>
        </w:rPr>
        <w:t xml:space="preserve">before </w:t>
      </w:r>
      <w:r w:rsidR="0005135F" w:rsidRPr="007E2B4B">
        <w:rPr>
          <w:rFonts w:cstheme="minorHAnsi"/>
          <w:bCs/>
        </w:rPr>
        <w:t xml:space="preserve">potentially considering </w:t>
      </w:r>
      <w:r w:rsidR="00FD2815" w:rsidRPr="007E2B4B">
        <w:rPr>
          <w:rFonts w:cstheme="minorHAnsi"/>
          <w:bCs/>
        </w:rPr>
        <w:t>new ones</w:t>
      </w:r>
      <w:r w:rsidR="0005135F" w:rsidRPr="007E2B4B">
        <w:rPr>
          <w:rFonts w:cstheme="minorHAnsi"/>
          <w:bCs/>
        </w:rPr>
        <w:t xml:space="preserve"> in the future</w:t>
      </w:r>
      <w:r w:rsidR="00FD2815" w:rsidRPr="007E2B4B">
        <w:rPr>
          <w:rFonts w:cstheme="minorHAnsi"/>
          <w:bCs/>
        </w:rPr>
        <w:t xml:space="preserve">.  Our assessment of the Core will be happening at a particularly auspicious time, given the </w:t>
      </w:r>
      <w:r w:rsidR="0005135F" w:rsidRPr="007E2B4B">
        <w:rPr>
          <w:rFonts w:cstheme="minorHAnsi"/>
          <w:bCs/>
        </w:rPr>
        <w:t xml:space="preserve">activity </w:t>
      </w:r>
      <w:r w:rsidR="00FD2815" w:rsidRPr="007E2B4B">
        <w:rPr>
          <w:rFonts w:cstheme="minorHAnsi"/>
          <w:bCs/>
        </w:rPr>
        <w:t xml:space="preserve">and collection of data </w:t>
      </w:r>
      <w:r w:rsidR="0005135F" w:rsidRPr="007E2B4B">
        <w:rPr>
          <w:rFonts w:cstheme="minorHAnsi"/>
          <w:bCs/>
        </w:rPr>
        <w:t>supported by</w:t>
      </w:r>
      <w:r w:rsidR="00FD2815" w:rsidRPr="007E2B4B">
        <w:rPr>
          <w:rFonts w:cstheme="minorHAnsi"/>
          <w:bCs/>
        </w:rPr>
        <w:t xml:space="preserve"> </w:t>
      </w:r>
      <w:r w:rsidR="000546E8">
        <w:rPr>
          <w:rFonts w:cstheme="minorHAnsi"/>
          <w:bCs/>
        </w:rPr>
        <w:t xml:space="preserve">the </w:t>
      </w:r>
      <w:r w:rsidR="00FD2815" w:rsidRPr="007E2B4B">
        <w:rPr>
          <w:rFonts w:cstheme="minorHAnsi"/>
          <w:bCs/>
        </w:rPr>
        <w:t>IC</w:t>
      </w:r>
      <w:r w:rsidR="00FD2815" w:rsidRPr="007E2B4B">
        <w:rPr>
          <w:rFonts w:cstheme="minorHAnsi"/>
          <w:bCs/>
          <w:vertAlign w:val="superscript"/>
        </w:rPr>
        <w:t>2</w:t>
      </w:r>
      <w:r w:rsidR="00FD2815" w:rsidRPr="007E2B4B">
        <w:rPr>
          <w:rFonts w:cstheme="minorHAnsi"/>
          <w:bCs/>
        </w:rPr>
        <w:t xml:space="preserve"> initiative.   </w:t>
      </w:r>
      <w:r w:rsidR="0005135F" w:rsidRPr="007E2B4B">
        <w:rPr>
          <w:rFonts w:cstheme="minorHAnsi"/>
          <w:bCs/>
        </w:rPr>
        <w:t xml:space="preserve">While </w:t>
      </w:r>
      <w:r w:rsidR="00FD2815" w:rsidRPr="007E2B4B">
        <w:rPr>
          <w:rFonts w:cstheme="minorHAnsi"/>
          <w:bCs/>
        </w:rPr>
        <w:t xml:space="preserve">the TPR will have a completion date, Caltech’s review of the Core will continue. </w:t>
      </w:r>
    </w:p>
    <w:p w14:paraId="65E49DAF" w14:textId="77777777" w:rsidR="00DD71F0" w:rsidRPr="007E2B4B" w:rsidRDefault="00DD71F0" w:rsidP="00A55DAC">
      <w:pPr>
        <w:rPr>
          <w:rFonts w:cstheme="minorHAnsi"/>
          <w:bCs/>
        </w:rPr>
      </w:pPr>
    </w:p>
    <w:p w14:paraId="0E821F6A" w14:textId="5E46A7D1" w:rsidR="00997283" w:rsidRPr="007E2B4B" w:rsidRDefault="00DD71F0" w:rsidP="00157774">
      <w:pPr>
        <w:rPr>
          <w:rFonts w:cstheme="minorHAnsi"/>
          <w:b/>
        </w:rPr>
      </w:pPr>
      <w:r w:rsidRPr="007E2B4B">
        <w:rPr>
          <w:rFonts w:cstheme="minorHAnsi"/>
          <w:bCs/>
        </w:rPr>
        <w:t>The Academic</w:t>
      </w:r>
      <w:r w:rsidR="00F67532" w:rsidRPr="007E2B4B">
        <w:rPr>
          <w:rFonts w:cstheme="minorHAnsi"/>
          <w:bCs/>
        </w:rPr>
        <w:t xml:space="preserve"> and </w:t>
      </w:r>
      <w:r w:rsidRPr="007E2B4B">
        <w:rPr>
          <w:rFonts w:cstheme="minorHAnsi"/>
          <w:bCs/>
        </w:rPr>
        <w:t xml:space="preserve">Co-curricular Support Structures theme is, like the Core, a work in progress.  The various offices, projects, and activities that will be evaluated are both </w:t>
      </w:r>
      <w:r w:rsidR="00157774" w:rsidRPr="007E2B4B">
        <w:rPr>
          <w:rFonts w:cstheme="minorHAnsi"/>
          <w:bCs/>
        </w:rPr>
        <w:t xml:space="preserve">relatively new </w:t>
      </w:r>
      <w:r w:rsidRPr="007E2B4B">
        <w:rPr>
          <w:rFonts w:cstheme="minorHAnsi"/>
          <w:bCs/>
        </w:rPr>
        <w:t xml:space="preserve">(the Center for Teaching, Learning, and Outreach celebrated its five-year anniversary; the Innovation in Education Fund recently supported a host of pedagogical projects designed to enhance the student experience) and newly expanded (the Freshman Summer Research Institute increased the size of its cohort from approximately twelve to twenty; the Hixon Writing Center hired two new STEM writing specialists this year; </w:t>
      </w:r>
      <w:r w:rsidR="00157774" w:rsidRPr="007E2B4B">
        <w:rPr>
          <w:rFonts w:cstheme="minorHAnsi"/>
          <w:bCs/>
        </w:rPr>
        <w:t xml:space="preserve">the graduate deans’ office added the outreach and recruitment officer four years ago).  These support structures have </w:t>
      </w:r>
      <w:r w:rsidR="0005135F" w:rsidRPr="007E2B4B">
        <w:rPr>
          <w:rFonts w:cstheme="minorHAnsi"/>
          <w:bCs/>
        </w:rPr>
        <w:t xml:space="preserve">increased </w:t>
      </w:r>
      <w:r w:rsidR="00157774" w:rsidRPr="007E2B4B">
        <w:rPr>
          <w:rFonts w:cstheme="minorHAnsi"/>
          <w:bCs/>
        </w:rPr>
        <w:t xml:space="preserve">visibility and </w:t>
      </w:r>
      <w:r w:rsidR="00157774" w:rsidRPr="007E2B4B">
        <w:rPr>
          <w:rFonts w:cstheme="minorHAnsi"/>
          <w:bCs/>
        </w:rPr>
        <w:lastRenderedPageBreak/>
        <w:t xml:space="preserve">importance to Caltech, </w:t>
      </w:r>
      <w:r w:rsidR="0005135F" w:rsidRPr="007E2B4B">
        <w:rPr>
          <w:rFonts w:cstheme="minorHAnsi"/>
          <w:bCs/>
        </w:rPr>
        <w:t xml:space="preserve">and </w:t>
      </w:r>
      <w:r w:rsidR="00157774" w:rsidRPr="007E2B4B">
        <w:rPr>
          <w:rFonts w:cstheme="minorHAnsi"/>
          <w:bCs/>
        </w:rPr>
        <w:t xml:space="preserve">only by assessing them </w:t>
      </w:r>
      <w:r w:rsidR="0005135F" w:rsidRPr="007E2B4B">
        <w:rPr>
          <w:rFonts w:cstheme="minorHAnsi"/>
          <w:bCs/>
        </w:rPr>
        <w:t xml:space="preserve">in a coordinated way </w:t>
      </w:r>
      <w:r w:rsidR="00157774" w:rsidRPr="007E2B4B">
        <w:rPr>
          <w:rFonts w:cstheme="minorHAnsi"/>
          <w:bCs/>
        </w:rPr>
        <w:t xml:space="preserve">will </w:t>
      </w:r>
      <w:r w:rsidR="0005135F" w:rsidRPr="007E2B4B">
        <w:rPr>
          <w:rFonts w:cstheme="minorHAnsi"/>
          <w:bCs/>
        </w:rPr>
        <w:t xml:space="preserve">we understand </w:t>
      </w:r>
      <w:r w:rsidR="00157774" w:rsidRPr="007E2B4B">
        <w:rPr>
          <w:rFonts w:cstheme="minorHAnsi"/>
          <w:bCs/>
        </w:rPr>
        <w:t xml:space="preserve">just how instrumental they </w:t>
      </w:r>
      <w:r w:rsidR="0005135F" w:rsidRPr="007E2B4B">
        <w:rPr>
          <w:rFonts w:cstheme="minorHAnsi"/>
          <w:bCs/>
        </w:rPr>
        <w:t xml:space="preserve">may </w:t>
      </w:r>
      <w:r w:rsidR="00157774" w:rsidRPr="007E2B4B">
        <w:rPr>
          <w:rFonts w:cstheme="minorHAnsi"/>
          <w:bCs/>
        </w:rPr>
        <w:t xml:space="preserve">be to the community and how they might </w:t>
      </w:r>
      <w:r w:rsidR="0005135F" w:rsidRPr="007E2B4B">
        <w:rPr>
          <w:rFonts w:cstheme="minorHAnsi"/>
          <w:bCs/>
        </w:rPr>
        <w:t xml:space="preserve">be </w:t>
      </w:r>
      <w:r w:rsidR="00157774" w:rsidRPr="007E2B4B">
        <w:rPr>
          <w:rFonts w:cstheme="minorHAnsi"/>
          <w:bCs/>
        </w:rPr>
        <w:t>improve</w:t>
      </w:r>
      <w:r w:rsidR="0005135F" w:rsidRPr="007E2B4B">
        <w:rPr>
          <w:rFonts w:cstheme="minorHAnsi"/>
          <w:bCs/>
        </w:rPr>
        <w:t>d</w:t>
      </w:r>
      <w:r w:rsidR="00157774" w:rsidRPr="007E2B4B">
        <w:rPr>
          <w:rFonts w:cstheme="minorHAnsi"/>
          <w:bCs/>
        </w:rPr>
        <w:t xml:space="preserve">. </w:t>
      </w:r>
    </w:p>
    <w:p w14:paraId="490DA9BA" w14:textId="77777777" w:rsidR="006C7448" w:rsidRPr="007E2B4B" w:rsidRDefault="006C7448" w:rsidP="006C7448">
      <w:pPr>
        <w:rPr>
          <w:rFonts w:cstheme="minorHAnsi"/>
          <w:b/>
        </w:rPr>
      </w:pPr>
    </w:p>
    <w:p w14:paraId="2C3521C8" w14:textId="77777777" w:rsidR="006C7448" w:rsidRPr="007E2B4B" w:rsidRDefault="006C7448" w:rsidP="006C7448">
      <w:pPr>
        <w:rPr>
          <w:rFonts w:cstheme="minorHAnsi"/>
          <w:bCs/>
        </w:rPr>
      </w:pPr>
      <w:r w:rsidRPr="007E2B4B">
        <w:rPr>
          <w:rFonts w:cstheme="minorHAnsi"/>
          <w:b/>
        </w:rPr>
        <w:t>Resources</w:t>
      </w:r>
    </w:p>
    <w:p w14:paraId="613D5FE4" w14:textId="77777777" w:rsidR="00CC00E8" w:rsidRPr="007E2B4B" w:rsidRDefault="00CC00E8" w:rsidP="006C7448">
      <w:pPr>
        <w:rPr>
          <w:rFonts w:cstheme="minorHAnsi"/>
          <w:bCs/>
        </w:rPr>
      </w:pPr>
    </w:p>
    <w:p w14:paraId="4DB690B7" w14:textId="69DFC0CF" w:rsidR="001F0CA1" w:rsidRPr="007E2B4B" w:rsidRDefault="00CC00E8">
      <w:pPr>
        <w:rPr>
          <w:rFonts w:cstheme="minorHAnsi"/>
          <w:bCs/>
        </w:rPr>
      </w:pPr>
      <w:r w:rsidRPr="007E2B4B">
        <w:rPr>
          <w:rFonts w:cstheme="minorHAnsi"/>
          <w:bCs/>
        </w:rPr>
        <w:t>In order to examine and assess the themes of the Core Curriculum and Academic</w:t>
      </w:r>
      <w:r w:rsidR="00F67532" w:rsidRPr="007E2B4B">
        <w:rPr>
          <w:rFonts w:cstheme="minorHAnsi"/>
          <w:bCs/>
        </w:rPr>
        <w:t xml:space="preserve"> and Co-curricular Support S</w:t>
      </w:r>
      <w:r w:rsidRPr="007E2B4B">
        <w:rPr>
          <w:rFonts w:cstheme="minorHAnsi"/>
          <w:bCs/>
        </w:rPr>
        <w:t xml:space="preserve">tructures, Caltech will leverage its most precious asset: its faculty, staff, and students. </w:t>
      </w:r>
      <w:r w:rsidR="001F0CA1" w:rsidRPr="007E2B4B">
        <w:rPr>
          <w:rFonts w:cstheme="minorHAnsi"/>
          <w:bCs/>
        </w:rPr>
        <w:t xml:space="preserve"> </w:t>
      </w:r>
      <w:r w:rsidR="00F67532" w:rsidRPr="007E2B4B">
        <w:rPr>
          <w:rFonts w:cstheme="minorHAnsi"/>
          <w:bCs/>
        </w:rPr>
        <w:t>T</w:t>
      </w:r>
      <w:r w:rsidR="001F0CA1" w:rsidRPr="007E2B4B">
        <w:rPr>
          <w:rFonts w:cstheme="minorHAnsi"/>
          <w:bCs/>
        </w:rPr>
        <w:t xml:space="preserve">he time </w:t>
      </w:r>
      <w:r w:rsidR="00C117A9" w:rsidRPr="007E2B4B">
        <w:rPr>
          <w:rFonts w:cstheme="minorHAnsi"/>
          <w:bCs/>
        </w:rPr>
        <w:t xml:space="preserve">spent </w:t>
      </w:r>
      <w:r w:rsidR="001F0CA1" w:rsidRPr="007E2B4B">
        <w:rPr>
          <w:rFonts w:cstheme="minorHAnsi"/>
          <w:bCs/>
        </w:rPr>
        <w:t>by the community</w:t>
      </w:r>
      <w:r w:rsidR="00F67532" w:rsidRPr="007E2B4B">
        <w:rPr>
          <w:rFonts w:cstheme="minorHAnsi"/>
          <w:bCs/>
        </w:rPr>
        <w:t xml:space="preserve"> will </w:t>
      </w:r>
      <w:r w:rsidR="00C117A9" w:rsidRPr="007E2B4B">
        <w:rPr>
          <w:rFonts w:cstheme="minorHAnsi"/>
          <w:bCs/>
        </w:rPr>
        <w:t>be our primary financial investment, although other costs will be incurred, such as bringing Barbara Gross Davis, our WASC liaison, to Caltech to meet with campus leaders involved with accreditation, and sending campus leaders to WASC conferences.</w:t>
      </w:r>
      <w:r w:rsidR="00EA247B" w:rsidRPr="007E2B4B">
        <w:rPr>
          <w:rFonts w:cstheme="minorHAnsi"/>
          <w:bCs/>
        </w:rPr>
        <w:t xml:space="preserve">  Because </w:t>
      </w:r>
      <w:r w:rsidR="00E81344" w:rsidRPr="007E2B4B">
        <w:rPr>
          <w:rFonts w:cstheme="minorHAnsi"/>
          <w:bCs/>
        </w:rPr>
        <w:t xml:space="preserve">Caltech is small, our ethos </w:t>
      </w:r>
      <w:r w:rsidR="00EA247B" w:rsidRPr="007E2B4B">
        <w:rPr>
          <w:rFonts w:cstheme="minorHAnsi"/>
          <w:bCs/>
        </w:rPr>
        <w:t>is consultative and student</w:t>
      </w:r>
      <w:r w:rsidR="00E81344" w:rsidRPr="007E2B4B">
        <w:rPr>
          <w:rFonts w:cstheme="minorHAnsi"/>
          <w:bCs/>
        </w:rPr>
        <w:t xml:space="preserve"> engagement is </w:t>
      </w:r>
      <w:r w:rsidR="00A24DD6">
        <w:rPr>
          <w:rFonts w:cstheme="minorHAnsi"/>
          <w:bCs/>
        </w:rPr>
        <w:t xml:space="preserve">encouraged, expected, and </w:t>
      </w:r>
      <w:r w:rsidR="00E81344" w:rsidRPr="007E2B4B">
        <w:rPr>
          <w:rFonts w:cstheme="minorHAnsi"/>
          <w:bCs/>
        </w:rPr>
        <w:t>essential.  W</w:t>
      </w:r>
      <w:r w:rsidR="00EA247B" w:rsidRPr="007E2B4B">
        <w:rPr>
          <w:rFonts w:cstheme="minorHAnsi"/>
          <w:bCs/>
        </w:rPr>
        <w:t xml:space="preserve">e </w:t>
      </w:r>
      <w:r w:rsidR="00E81344" w:rsidRPr="007E2B4B">
        <w:rPr>
          <w:rFonts w:cstheme="minorHAnsi"/>
          <w:bCs/>
        </w:rPr>
        <w:t xml:space="preserve">therefore </w:t>
      </w:r>
      <w:r w:rsidR="00EA247B" w:rsidRPr="007E2B4B">
        <w:rPr>
          <w:rFonts w:cstheme="minorHAnsi"/>
          <w:bCs/>
        </w:rPr>
        <w:t>anticipate a fully-engaged community effort</w:t>
      </w:r>
      <w:r w:rsidR="00E81344" w:rsidRPr="007E2B4B">
        <w:rPr>
          <w:rFonts w:cstheme="minorHAnsi"/>
          <w:bCs/>
        </w:rPr>
        <w:t xml:space="preserve">, although the precise number of participants is difficult to predict.  </w:t>
      </w:r>
    </w:p>
    <w:p w14:paraId="21840394" w14:textId="77777777" w:rsidR="00A0093E" w:rsidRPr="007E2B4B" w:rsidRDefault="00A0093E" w:rsidP="006F4836">
      <w:pPr>
        <w:rPr>
          <w:rFonts w:cstheme="minorHAnsi"/>
          <w:bCs/>
        </w:rPr>
      </w:pPr>
    </w:p>
    <w:p w14:paraId="2768CB8E" w14:textId="4B82A602" w:rsidR="00A0093E" w:rsidRPr="007E2B4B" w:rsidRDefault="00EA247B" w:rsidP="00EA247B">
      <w:pPr>
        <w:rPr>
          <w:rFonts w:cstheme="minorHAnsi"/>
          <w:b/>
        </w:rPr>
      </w:pPr>
      <w:r w:rsidRPr="007E2B4B">
        <w:rPr>
          <w:rFonts w:cstheme="minorHAnsi"/>
          <w:bCs/>
        </w:rPr>
        <w:t xml:space="preserve">The provost’s office will coordinate and manage both projects.  The office of institutional research will be at the helm of assessing both themes.  </w:t>
      </w:r>
      <w:r w:rsidR="00A0093E" w:rsidRPr="007E2B4B">
        <w:rPr>
          <w:rFonts w:cstheme="minorHAnsi"/>
          <w:bCs/>
        </w:rPr>
        <w:t xml:space="preserve">The review of the Core Curriculum theme will involve a subset of faculty teaching in the Core, as well as </w:t>
      </w:r>
      <w:r w:rsidRPr="007E2B4B">
        <w:rPr>
          <w:rFonts w:cstheme="minorHAnsi"/>
          <w:bCs/>
        </w:rPr>
        <w:t xml:space="preserve">faculty, staff, and student </w:t>
      </w:r>
      <w:r w:rsidR="00A0093E" w:rsidRPr="007E2B4B">
        <w:rPr>
          <w:rFonts w:cstheme="minorHAnsi"/>
          <w:bCs/>
        </w:rPr>
        <w:t xml:space="preserve">members from the Core Curriculum Steering Committee, the Council </w:t>
      </w:r>
      <w:r w:rsidR="00F81A95">
        <w:rPr>
          <w:rFonts w:cstheme="minorHAnsi"/>
          <w:bCs/>
        </w:rPr>
        <w:t>on</w:t>
      </w:r>
      <w:r w:rsidR="00A0093E" w:rsidRPr="007E2B4B">
        <w:rPr>
          <w:rFonts w:cstheme="minorHAnsi"/>
          <w:bCs/>
        </w:rPr>
        <w:t xml:space="preserve"> Undergraduate E</w:t>
      </w:r>
      <w:r w:rsidRPr="007E2B4B">
        <w:rPr>
          <w:rFonts w:cstheme="minorHAnsi"/>
          <w:bCs/>
        </w:rPr>
        <w:t>ducation,</w:t>
      </w:r>
      <w:r w:rsidR="00A0093E" w:rsidRPr="007E2B4B">
        <w:rPr>
          <w:rFonts w:cstheme="minorHAnsi"/>
          <w:bCs/>
        </w:rPr>
        <w:t xml:space="preserve"> the Inclusive Caltech Core</w:t>
      </w:r>
      <w:r w:rsidRPr="007E2B4B">
        <w:rPr>
          <w:rFonts w:cstheme="minorHAnsi"/>
          <w:bCs/>
        </w:rPr>
        <w:t>, et al</w:t>
      </w:r>
      <w:r w:rsidR="00A0093E" w:rsidRPr="007E2B4B">
        <w:rPr>
          <w:rFonts w:cstheme="minorHAnsi"/>
          <w:bCs/>
        </w:rPr>
        <w:t>.</w:t>
      </w:r>
      <w:r w:rsidRPr="007E2B4B">
        <w:rPr>
          <w:rFonts w:cstheme="minorHAnsi"/>
          <w:bCs/>
        </w:rPr>
        <w:t xml:space="preserve">  The review of the Academic and Co-curricular Support Structures will involve a subset of faculty and staff participants from the Center for Teaching, Learning, and Outreach, the </w:t>
      </w:r>
      <w:r w:rsidR="00F81A95">
        <w:rPr>
          <w:rFonts w:cstheme="minorHAnsi"/>
          <w:bCs/>
        </w:rPr>
        <w:t xml:space="preserve">Caltech Center for </w:t>
      </w:r>
      <w:proofErr w:type="gramStart"/>
      <w:r w:rsidR="00F81A95">
        <w:rPr>
          <w:rFonts w:cstheme="minorHAnsi"/>
          <w:bCs/>
        </w:rPr>
        <w:t>D</w:t>
      </w:r>
      <w:r w:rsidR="00F81A95" w:rsidRPr="007E2B4B">
        <w:rPr>
          <w:rFonts w:cstheme="minorHAnsi"/>
          <w:bCs/>
        </w:rPr>
        <w:t>iversity</w:t>
      </w:r>
      <w:r w:rsidRPr="007E2B4B">
        <w:rPr>
          <w:rFonts w:cstheme="minorHAnsi"/>
          <w:bCs/>
        </w:rPr>
        <w:t>,  the</w:t>
      </w:r>
      <w:proofErr w:type="gramEnd"/>
      <w:r w:rsidRPr="007E2B4B">
        <w:rPr>
          <w:rFonts w:cstheme="minorHAnsi"/>
          <w:bCs/>
        </w:rPr>
        <w:t xml:space="preserve"> Student-Faculty Programs office, the </w:t>
      </w:r>
      <w:r w:rsidR="009F5091">
        <w:rPr>
          <w:rFonts w:cstheme="minorHAnsi"/>
          <w:bCs/>
        </w:rPr>
        <w:t>Dean of Undergraduate Students</w:t>
      </w:r>
      <w:r w:rsidR="009F5091" w:rsidRPr="007E2B4B">
        <w:rPr>
          <w:rFonts w:cstheme="minorHAnsi"/>
          <w:bCs/>
        </w:rPr>
        <w:t xml:space="preserve"> </w:t>
      </w:r>
      <w:r w:rsidRPr="007E2B4B">
        <w:rPr>
          <w:rFonts w:cstheme="minorHAnsi"/>
          <w:bCs/>
        </w:rPr>
        <w:t xml:space="preserve">and </w:t>
      </w:r>
      <w:r w:rsidR="009F5091">
        <w:rPr>
          <w:rFonts w:cstheme="minorHAnsi"/>
          <w:bCs/>
        </w:rPr>
        <w:t>Graduate Studies</w:t>
      </w:r>
      <w:r w:rsidRPr="007E2B4B">
        <w:rPr>
          <w:rFonts w:cstheme="minorHAnsi"/>
          <w:bCs/>
        </w:rPr>
        <w:t xml:space="preserve"> offices, et al.  </w:t>
      </w:r>
      <w:r w:rsidR="00A0093E" w:rsidRPr="007E2B4B">
        <w:rPr>
          <w:rFonts w:cstheme="minorHAnsi"/>
          <w:bCs/>
        </w:rPr>
        <w:t xml:space="preserve">  </w:t>
      </w:r>
    </w:p>
    <w:p w14:paraId="4AE30F07" w14:textId="77777777" w:rsidR="00A0093E" w:rsidRPr="007E2B4B" w:rsidRDefault="00A0093E" w:rsidP="006F4836">
      <w:pPr>
        <w:rPr>
          <w:rFonts w:cstheme="minorHAnsi"/>
          <w:bCs/>
        </w:rPr>
      </w:pPr>
    </w:p>
    <w:p w14:paraId="62B48F65" w14:textId="77777777" w:rsidR="00782958" w:rsidRPr="007E2B4B" w:rsidRDefault="00782958" w:rsidP="006C7448">
      <w:pPr>
        <w:rPr>
          <w:rFonts w:cstheme="minorHAnsi"/>
          <w:b/>
        </w:rPr>
      </w:pPr>
    </w:p>
    <w:p w14:paraId="43EDF4C7" w14:textId="77777777" w:rsidR="006C7448" w:rsidRDefault="006C7448" w:rsidP="006C7448">
      <w:pPr>
        <w:rPr>
          <w:rFonts w:cstheme="minorHAnsi"/>
          <w:b/>
        </w:rPr>
      </w:pPr>
      <w:r w:rsidRPr="007E2B4B">
        <w:rPr>
          <w:rFonts w:cstheme="minorHAnsi"/>
          <w:b/>
        </w:rPr>
        <w:t>Institutional Stipulation</w:t>
      </w:r>
    </w:p>
    <w:p w14:paraId="66673001" w14:textId="77777777" w:rsidR="00267B10" w:rsidRDefault="00267B10" w:rsidP="006C7448">
      <w:pPr>
        <w:rPr>
          <w:rFonts w:cstheme="minorHAnsi"/>
          <w:b/>
        </w:rPr>
      </w:pPr>
    </w:p>
    <w:p w14:paraId="1FA97167" w14:textId="42704A7E" w:rsidR="00267B10" w:rsidRPr="00267B10" w:rsidRDefault="00267B10" w:rsidP="006C7448">
      <w:pPr>
        <w:rPr>
          <w:rFonts w:cstheme="minorHAnsi"/>
          <w:bCs/>
        </w:rPr>
      </w:pPr>
      <w:proofErr w:type="spellStart"/>
      <w:r>
        <w:rPr>
          <w:rFonts w:cstheme="minorHAnsi"/>
          <w:bCs/>
        </w:rPr>
        <w:t>Pleasee</w:t>
      </w:r>
      <w:proofErr w:type="spellEnd"/>
      <w:r>
        <w:rPr>
          <w:rFonts w:cstheme="minorHAnsi"/>
          <w:bCs/>
        </w:rPr>
        <w:t xml:space="preserve"> see Institutional Certification Form</w:t>
      </w:r>
    </w:p>
    <w:sectPr w:rsidR="00267B10" w:rsidRPr="00267B10" w:rsidSect="00956F13">
      <w:footerReference w:type="even" r:id="rId6"/>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FF9B" w14:textId="77777777" w:rsidR="00956BA2" w:rsidRDefault="00956BA2" w:rsidP="00A87E0C">
      <w:r>
        <w:separator/>
      </w:r>
    </w:p>
  </w:endnote>
  <w:endnote w:type="continuationSeparator" w:id="0">
    <w:p w14:paraId="702C2F28" w14:textId="77777777" w:rsidR="00956BA2" w:rsidRDefault="00956BA2" w:rsidP="00A8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244C" w14:textId="77777777" w:rsidR="00A87E0C" w:rsidRDefault="00A87E0C" w:rsidP="00CB5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841CD" w14:textId="77777777" w:rsidR="00A87E0C" w:rsidRDefault="00A87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9A5B" w14:textId="77777777" w:rsidR="00A87E0C" w:rsidRDefault="00A87E0C" w:rsidP="00CB5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E51F4C2" w14:textId="77777777" w:rsidR="00A87E0C" w:rsidRDefault="00A87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0201" w14:textId="77777777" w:rsidR="00956BA2" w:rsidRDefault="00956BA2" w:rsidP="00A87E0C">
      <w:r>
        <w:separator/>
      </w:r>
    </w:p>
  </w:footnote>
  <w:footnote w:type="continuationSeparator" w:id="0">
    <w:p w14:paraId="77C50B75" w14:textId="77777777" w:rsidR="00956BA2" w:rsidRDefault="00956BA2" w:rsidP="00A8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EC8"/>
    <w:rsid w:val="00006248"/>
    <w:rsid w:val="00013F31"/>
    <w:rsid w:val="000245E4"/>
    <w:rsid w:val="00032FFC"/>
    <w:rsid w:val="00043BA7"/>
    <w:rsid w:val="0005135F"/>
    <w:rsid w:val="000546E8"/>
    <w:rsid w:val="0007566C"/>
    <w:rsid w:val="000B1F4F"/>
    <w:rsid w:val="000C7C2C"/>
    <w:rsid w:val="001250B6"/>
    <w:rsid w:val="00157774"/>
    <w:rsid w:val="001765FF"/>
    <w:rsid w:val="001B43F4"/>
    <w:rsid w:val="001C1EAC"/>
    <w:rsid w:val="001D0BD3"/>
    <w:rsid w:val="001E0697"/>
    <w:rsid w:val="001F0CA1"/>
    <w:rsid w:val="00251155"/>
    <w:rsid w:val="00267B10"/>
    <w:rsid w:val="002A2E20"/>
    <w:rsid w:val="002A6473"/>
    <w:rsid w:val="002C43A5"/>
    <w:rsid w:val="00304C22"/>
    <w:rsid w:val="00307DA9"/>
    <w:rsid w:val="003779FE"/>
    <w:rsid w:val="00397858"/>
    <w:rsid w:val="003A3828"/>
    <w:rsid w:val="003C00CD"/>
    <w:rsid w:val="003F47FC"/>
    <w:rsid w:val="00421A16"/>
    <w:rsid w:val="004278E6"/>
    <w:rsid w:val="004375F6"/>
    <w:rsid w:val="0048366C"/>
    <w:rsid w:val="00485AFC"/>
    <w:rsid w:val="00492D7E"/>
    <w:rsid w:val="00494FF1"/>
    <w:rsid w:val="004A1473"/>
    <w:rsid w:val="004B269A"/>
    <w:rsid w:val="004D01C4"/>
    <w:rsid w:val="005147D1"/>
    <w:rsid w:val="00520F44"/>
    <w:rsid w:val="00566749"/>
    <w:rsid w:val="00572292"/>
    <w:rsid w:val="00573FF0"/>
    <w:rsid w:val="00587A82"/>
    <w:rsid w:val="005B195B"/>
    <w:rsid w:val="005B5B04"/>
    <w:rsid w:val="005F5BAC"/>
    <w:rsid w:val="006213D9"/>
    <w:rsid w:val="00621D52"/>
    <w:rsid w:val="00646D5B"/>
    <w:rsid w:val="00696307"/>
    <w:rsid w:val="006A0BD1"/>
    <w:rsid w:val="006C0240"/>
    <w:rsid w:val="006C7448"/>
    <w:rsid w:val="006F4836"/>
    <w:rsid w:val="00712CCB"/>
    <w:rsid w:val="0072787D"/>
    <w:rsid w:val="007403FD"/>
    <w:rsid w:val="00743764"/>
    <w:rsid w:val="00770F2C"/>
    <w:rsid w:val="007718A5"/>
    <w:rsid w:val="00773BA2"/>
    <w:rsid w:val="00782958"/>
    <w:rsid w:val="007B1235"/>
    <w:rsid w:val="007B5F92"/>
    <w:rsid w:val="007E2B4B"/>
    <w:rsid w:val="00850790"/>
    <w:rsid w:val="00861EE1"/>
    <w:rsid w:val="00895C4C"/>
    <w:rsid w:val="00956BA2"/>
    <w:rsid w:val="00956F13"/>
    <w:rsid w:val="00964BBB"/>
    <w:rsid w:val="0098006B"/>
    <w:rsid w:val="00980B0F"/>
    <w:rsid w:val="00982D60"/>
    <w:rsid w:val="009851E3"/>
    <w:rsid w:val="0099417F"/>
    <w:rsid w:val="0099479B"/>
    <w:rsid w:val="00997283"/>
    <w:rsid w:val="009D478F"/>
    <w:rsid w:val="009F5091"/>
    <w:rsid w:val="00A0093E"/>
    <w:rsid w:val="00A06B08"/>
    <w:rsid w:val="00A24DD6"/>
    <w:rsid w:val="00A37BDD"/>
    <w:rsid w:val="00A41EC8"/>
    <w:rsid w:val="00A55DAC"/>
    <w:rsid w:val="00A65EE5"/>
    <w:rsid w:val="00A6799F"/>
    <w:rsid w:val="00A67F61"/>
    <w:rsid w:val="00A85077"/>
    <w:rsid w:val="00A87E0C"/>
    <w:rsid w:val="00A92AE3"/>
    <w:rsid w:val="00A92BB1"/>
    <w:rsid w:val="00AD2516"/>
    <w:rsid w:val="00AD391A"/>
    <w:rsid w:val="00AD4701"/>
    <w:rsid w:val="00AE336D"/>
    <w:rsid w:val="00AE721E"/>
    <w:rsid w:val="00AF2A64"/>
    <w:rsid w:val="00B023F5"/>
    <w:rsid w:val="00B02CDA"/>
    <w:rsid w:val="00B164BA"/>
    <w:rsid w:val="00B223C5"/>
    <w:rsid w:val="00B77EAB"/>
    <w:rsid w:val="00BC189D"/>
    <w:rsid w:val="00BC27E3"/>
    <w:rsid w:val="00BD2BBD"/>
    <w:rsid w:val="00BE79F6"/>
    <w:rsid w:val="00BF48E5"/>
    <w:rsid w:val="00C117A9"/>
    <w:rsid w:val="00C3211E"/>
    <w:rsid w:val="00C32821"/>
    <w:rsid w:val="00C556B8"/>
    <w:rsid w:val="00C626C3"/>
    <w:rsid w:val="00CA7BDA"/>
    <w:rsid w:val="00CB2D93"/>
    <w:rsid w:val="00CC00E8"/>
    <w:rsid w:val="00CC173D"/>
    <w:rsid w:val="00CC4A16"/>
    <w:rsid w:val="00D26E65"/>
    <w:rsid w:val="00D4359A"/>
    <w:rsid w:val="00D456C6"/>
    <w:rsid w:val="00D82F67"/>
    <w:rsid w:val="00DA0F8E"/>
    <w:rsid w:val="00DC25EC"/>
    <w:rsid w:val="00DD6BD7"/>
    <w:rsid w:val="00DD71F0"/>
    <w:rsid w:val="00E40D2C"/>
    <w:rsid w:val="00E45E13"/>
    <w:rsid w:val="00E474B0"/>
    <w:rsid w:val="00E81344"/>
    <w:rsid w:val="00E84C6A"/>
    <w:rsid w:val="00EA247B"/>
    <w:rsid w:val="00EC416F"/>
    <w:rsid w:val="00ED2BFC"/>
    <w:rsid w:val="00EE70A9"/>
    <w:rsid w:val="00F066E0"/>
    <w:rsid w:val="00F068DC"/>
    <w:rsid w:val="00F32075"/>
    <w:rsid w:val="00F67532"/>
    <w:rsid w:val="00F80856"/>
    <w:rsid w:val="00F81A95"/>
    <w:rsid w:val="00F8639F"/>
    <w:rsid w:val="00FC327F"/>
    <w:rsid w:val="00FC4D89"/>
    <w:rsid w:val="00FD2815"/>
    <w:rsid w:val="00FE295C"/>
    <w:rsid w:val="00FF08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27757"/>
  <w14:defaultImageDpi w14:val="32767"/>
  <w15:docId w15:val="{1F46708A-9F43-4787-9B85-4B632569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F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F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82D60"/>
    <w:rPr>
      <w:sz w:val="18"/>
      <w:szCs w:val="18"/>
    </w:rPr>
  </w:style>
  <w:style w:type="paragraph" w:styleId="CommentText">
    <w:name w:val="annotation text"/>
    <w:basedOn w:val="Normal"/>
    <w:link w:val="CommentTextChar"/>
    <w:uiPriority w:val="99"/>
    <w:semiHidden/>
    <w:unhideWhenUsed/>
    <w:rsid w:val="00982D60"/>
  </w:style>
  <w:style w:type="character" w:customStyle="1" w:styleId="CommentTextChar">
    <w:name w:val="Comment Text Char"/>
    <w:basedOn w:val="DefaultParagraphFont"/>
    <w:link w:val="CommentText"/>
    <w:uiPriority w:val="99"/>
    <w:semiHidden/>
    <w:rsid w:val="00982D60"/>
  </w:style>
  <w:style w:type="paragraph" w:styleId="CommentSubject">
    <w:name w:val="annotation subject"/>
    <w:basedOn w:val="CommentText"/>
    <w:next w:val="CommentText"/>
    <w:link w:val="CommentSubjectChar"/>
    <w:uiPriority w:val="99"/>
    <w:semiHidden/>
    <w:unhideWhenUsed/>
    <w:rsid w:val="00982D60"/>
    <w:rPr>
      <w:b/>
      <w:bCs/>
      <w:sz w:val="20"/>
      <w:szCs w:val="20"/>
    </w:rPr>
  </w:style>
  <w:style w:type="character" w:customStyle="1" w:styleId="CommentSubjectChar">
    <w:name w:val="Comment Subject Char"/>
    <w:basedOn w:val="CommentTextChar"/>
    <w:link w:val="CommentSubject"/>
    <w:uiPriority w:val="99"/>
    <w:semiHidden/>
    <w:rsid w:val="00982D60"/>
    <w:rPr>
      <w:b/>
      <w:bCs/>
      <w:sz w:val="20"/>
      <w:szCs w:val="20"/>
    </w:rPr>
  </w:style>
  <w:style w:type="table" w:styleId="TableGrid">
    <w:name w:val="Table Grid"/>
    <w:basedOn w:val="TableNormal"/>
    <w:uiPriority w:val="39"/>
    <w:rsid w:val="007B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7E0C"/>
    <w:pPr>
      <w:tabs>
        <w:tab w:val="center" w:pos="4320"/>
        <w:tab w:val="right" w:pos="8640"/>
      </w:tabs>
    </w:pPr>
  </w:style>
  <w:style w:type="character" w:customStyle="1" w:styleId="FooterChar">
    <w:name w:val="Footer Char"/>
    <w:basedOn w:val="DefaultParagraphFont"/>
    <w:link w:val="Footer"/>
    <w:uiPriority w:val="99"/>
    <w:rsid w:val="00A87E0C"/>
  </w:style>
  <w:style w:type="character" w:styleId="PageNumber">
    <w:name w:val="page number"/>
    <w:basedOn w:val="DefaultParagraphFont"/>
    <w:uiPriority w:val="99"/>
    <w:semiHidden/>
    <w:unhideWhenUsed/>
    <w:rsid w:val="00A8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Cindy A.</dc:creator>
  <cp:keywords/>
  <dc:description/>
  <cp:lastModifiedBy>Scoville, Stacey L.</cp:lastModifiedBy>
  <cp:revision>2</cp:revision>
  <cp:lastPrinted>2018-12-07T03:50:00Z</cp:lastPrinted>
  <dcterms:created xsi:type="dcterms:W3CDTF">2018-12-07T03:50:00Z</dcterms:created>
  <dcterms:modified xsi:type="dcterms:W3CDTF">2018-12-07T03:50:00Z</dcterms:modified>
</cp:coreProperties>
</file>